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7D965">
      <w:pPr>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jc w:val="center"/>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AI经济建模教学平台</w:t>
      </w:r>
    </w:p>
    <w:p w14:paraId="0020E94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AI经济建模教学平台基于AI、Python、stata技术，根据通过顶刊论文案例复现操作，融合AI和机器学习展示数据，AI经济建模实验可实现读取数据、数据预处理、各类检验、数据可视化、特征工程、文本分析、调试工具、stata计量建模分析等科研分析任务，内容包括顶刊论文结构拆解、AI选题、研究主题论证、提出假说、实证分析、结果解读、研究背景理论分析假设论证、润色与AI审稿等实验。</w:t>
      </w:r>
      <w:bookmarkStart w:id="0" w:name="_Hlk117687846"/>
      <w:r>
        <w:rPr>
          <w:rFonts w:hint="eastAsia" w:ascii="宋体" w:hAnsi="宋体" w:eastAsia="宋体" w:cs="宋体"/>
          <w:sz w:val="24"/>
        </w:rPr>
        <w:t>排名第一的供应商在合同签订前还需现场或远程演示并获得最终使用此软件的老师签字认可，否则依次顺位下一排名的供应商作为中标方。</w:t>
      </w:r>
      <w:bookmarkEnd w:id="0"/>
    </w:p>
    <w:p w14:paraId="617624B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一、AI经济建模教学平台</w:t>
      </w:r>
      <w:r>
        <w:rPr>
          <w:rFonts w:hint="eastAsia" w:ascii="宋体" w:hAnsi="宋体" w:eastAsia="宋体" w:cs="宋体"/>
          <w:b/>
          <w:bCs/>
          <w:sz w:val="24"/>
          <w:lang w:val="en-US" w:eastAsia="zh-CN"/>
        </w:rPr>
        <w:t>框架</w:t>
      </w:r>
      <w:r>
        <w:rPr>
          <w:rFonts w:hint="eastAsia" w:ascii="宋体" w:hAnsi="宋体" w:eastAsia="宋体" w:cs="宋体"/>
          <w:b/>
          <w:bCs/>
          <w:sz w:val="24"/>
        </w:rPr>
        <w:t>（加★号项需现场或远程演示，否则不作为中标候选人）</w:t>
      </w:r>
    </w:p>
    <w:p w14:paraId="14F1679A">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通过AI教学实训平台界面查看和管理教学资源，并进行计量建模分析，涵盖读取数据、数据预处理、各类检验、数据可视化、特征工程、文本分析、传统计量建模分析、空间计量建模分析、Python工具等组件，低代码，拖拉拽组件配置参数即可实现数据分析与计量建模功能，并可展示调用的stata和Python代码，可在流程图式呈现整个计量建模过程。这些实验为本平台的核心功能。</w:t>
      </w:r>
    </w:p>
    <w:p w14:paraId="7D5D46DB">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读取数据</w:t>
      </w:r>
      <w:r>
        <w:rPr>
          <w:rFonts w:hint="eastAsia" w:ascii="宋体" w:hAnsi="宋体" w:eastAsia="宋体" w:cs="宋体"/>
          <w:sz w:val="24"/>
          <w:lang w:val="en-US" w:eastAsia="zh-CN"/>
        </w:rPr>
        <w:t>模块</w:t>
      </w:r>
      <w:r>
        <w:rPr>
          <w:rFonts w:hint="eastAsia" w:ascii="宋体" w:hAnsi="宋体" w:eastAsia="宋体" w:cs="宋体"/>
          <w:sz w:val="24"/>
          <w:lang w:val="en-US" w:eastAsia="zh-CN"/>
        </w:rPr>
        <w:t>，</w:t>
      </w:r>
      <w:r>
        <w:rPr>
          <w:rFonts w:hint="eastAsia" w:ascii="宋体" w:hAnsi="宋体" w:eastAsia="宋体" w:cs="宋体"/>
          <w:sz w:val="24"/>
          <w:lang w:val="en-US" w:eastAsia="zh-CN"/>
        </w:rPr>
        <w:t>可通过拖拽功能组件</w:t>
      </w:r>
      <w:r>
        <w:rPr>
          <w:rFonts w:hint="eastAsia" w:ascii="宋体" w:hAnsi="宋体" w:eastAsia="宋体" w:cs="宋体"/>
          <w:sz w:val="24"/>
          <w:lang w:val="en-US" w:eastAsia="zh-CN"/>
        </w:rPr>
        <w:t>读取 txt 、csv 、 Excel等格式的文件。</w:t>
      </w:r>
    </w:p>
    <w:p w14:paraId="4940AF9F">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了解数据</w:t>
      </w:r>
      <w:r>
        <w:rPr>
          <w:rFonts w:hint="eastAsia" w:ascii="宋体" w:hAnsi="宋体" w:eastAsia="宋体" w:cs="宋体"/>
          <w:sz w:val="24"/>
          <w:lang w:val="en-US" w:eastAsia="zh-CN"/>
        </w:rPr>
        <w:t>模块</w:t>
      </w:r>
      <w:r>
        <w:rPr>
          <w:rFonts w:hint="eastAsia" w:ascii="宋体" w:hAnsi="宋体" w:eastAsia="宋体" w:cs="宋体"/>
          <w:sz w:val="24"/>
          <w:lang w:val="en-US" w:eastAsia="zh-CN"/>
        </w:rPr>
        <w:t>，</w:t>
      </w:r>
      <w:r>
        <w:rPr>
          <w:rFonts w:hint="eastAsia" w:ascii="宋体" w:hAnsi="宋体" w:eastAsia="宋体" w:cs="宋体"/>
          <w:sz w:val="24"/>
          <w:lang w:val="en-US" w:eastAsia="zh-CN"/>
        </w:rPr>
        <w:t>可</w:t>
      </w:r>
      <w:r>
        <w:rPr>
          <w:rFonts w:hint="eastAsia" w:ascii="宋体" w:hAnsi="宋体" w:eastAsia="宋体" w:cs="宋体"/>
          <w:sz w:val="24"/>
          <w:lang w:val="en-US" w:eastAsia="zh-CN"/>
        </w:rPr>
        <w:t>通过拖拽功能组件查看前N行、后台调用stata代码</w:t>
      </w:r>
      <w:r>
        <w:rPr>
          <w:rFonts w:hint="eastAsia" w:ascii="宋体" w:hAnsi="宋体" w:eastAsia="宋体" w:cs="宋体"/>
          <w:sz w:val="24"/>
          <w:lang w:val="en-US" w:eastAsia="zh-CN"/>
        </w:rPr>
        <w:t>和Python代码进行描述性统计。</w:t>
      </w:r>
    </w:p>
    <w:p w14:paraId="16402DE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w:t>
      </w:r>
      <w:r>
        <w:rPr>
          <w:rFonts w:hint="eastAsia" w:ascii="宋体" w:hAnsi="宋体" w:eastAsia="宋体" w:cs="宋体"/>
          <w:sz w:val="24"/>
          <w:lang w:val="en-US" w:eastAsia="zh-CN"/>
        </w:rPr>
        <w:t>数据预处理模块，可</w:t>
      </w:r>
      <w:r>
        <w:rPr>
          <w:rFonts w:hint="eastAsia" w:ascii="宋体" w:hAnsi="宋体" w:eastAsia="宋体" w:cs="宋体"/>
          <w:sz w:val="24"/>
          <w:lang w:val="en-US" w:eastAsia="zh-CN"/>
        </w:rPr>
        <w:t>通过拖拽功能组件转换、设置、过滤、生成等数据预处理，如长表转成宽表、日期格式转换、缩尾或截尾、数字字符转数值、设置列数据类型、索引控制、排序、更改行名/列名、设置面板数据、设置时间序列数据、采样、行过滤、删除重复值/缺失值、缺失值填充、数据拆分、分离特征等等数据预处理常见操作。</w:t>
      </w:r>
    </w:p>
    <w:p w14:paraId="78A3A40D">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各类检验模块覆盖卡方检验，T检验-双样本、T检验-单样本、偏态分布检验、hausman检验、倾向得分匹配、处理效应估计、平衡性检验、多重共线性检验、似无相关估计等功能组件，可以通过拖拽功能组件实现各类检验。</w:t>
      </w:r>
    </w:p>
    <w:p w14:paraId="0DA3C96B">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★可通过配置组件实现箱线图、热力图、直方图、散点图、时序图、饼图、柱状图、折线图等数据可视化呈现。</w:t>
      </w:r>
    </w:p>
    <w:p w14:paraId="60FC288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★通过拖拉拽实现行列转置、离散化、特征变换、正则化、中心化、标准化、数据透视表、归一化、主成分分析/PCA、序列编码、独热编码等特征工程功能。</w:t>
      </w:r>
    </w:p>
    <w:p w14:paraId="44C7FDA7">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通过拖拉拽组件模块可实现词频统计、词性筛选、词云、文本预处理、去停用词、TF-IDF、文本数据分类、词共现矩阵、词共现网络图、情感倾向词统计及分析、LDA主题困惑度曲线图及LDA主题分析等文本分析方法。</w:t>
      </w:r>
    </w:p>
    <w:p w14:paraId="0E0F17E1">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可后台调用stata代码，通过拖拉拽功能组件实现变量预设、相关性分析、线性回归、面板数据回归、高维固定效应回归、双重差分(DID)、二阶段回归(2SLS)、面板数据二阶段回归(2SLS）、动态面板数据的GMM估计、高维固定效应IV估计、面板数据二元选择模型、分位数回归、逻辑回归、正态分布模型、截面门槛效应回归、面板门槛效应回归等传统计量建模分析，也支持自编stata代码。</w:t>
      </w:r>
    </w:p>
    <w:p w14:paraId="01FAF309">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★覆盖创建空间权重矩阵、空间面板数据回归等空间计量建模分析（stata）。</w:t>
      </w:r>
    </w:p>
    <w:p w14:paraId="234FC698">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支持自编Python代码，并嵌套进入功能组件，进行数据处理。</w:t>
      </w:r>
    </w:p>
    <w:p w14:paraId="5DF3712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lang w:val="en-US" w:eastAsia="zh-CN"/>
        </w:rPr>
        <w:t>二</w:t>
      </w:r>
      <w:r>
        <w:rPr>
          <w:rFonts w:hint="eastAsia" w:ascii="宋体" w:hAnsi="宋体" w:eastAsia="宋体" w:cs="宋体"/>
          <w:b/>
          <w:bCs/>
          <w:sz w:val="24"/>
        </w:rPr>
        <w:t>、</w:t>
      </w:r>
      <w:r>
        <w:rPr>
          <w:rFonts w:hint="eastAsia" w:ascii="宋体" w:hAnsi="宋体" w:eastAsia="宋体" w:cs="宋体"/>
          <w:b/>
          <w:bCs/>
          <w:sz w:val="24"/>
          <w:lang w:val="en-US" w:eastAsia="zh-CN"/>
        </w:rPr>
        <w:t>实验案例功能</w:t>
      </w:r>
      <w:r>
        <w:rPr>
          <w:rFonts w:hint="eastAsia" w:ascii="宋体" w:hAnsi="宋体" w:eastAsia="宋体" w:cs="宋体"/>
          <w:b/>
          <w:bCs/>
          <w:sz w:val="24"/>
        </w:rPr>
        <w:t>（加★号项需现场或远程演示，否则不作为中标候选人）</w:t>
      </w:r>
    </w:p>
    <w:p w14:paraId="7DECA511">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_Toc18820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双重差分模型（腾笼换鸟的房价效应：以老工业区搬迁改造为例）</w:t>
      </w:r>
      <w:r>
        <w:rPr>
          <w:rFonts w:hint="eastAsia" w:ascii="宋体" w:hAnsi="宋体" w:eastAsia="宋体" w:cs="宋体"/>
          <w:b/>
          <w:bCs/>
          <w:sz w:val="24"/>
          <w:lang w:val="en-US" w:eastAsia="zh-CN"/>
        </w:rPr>
        <w:fldChar w:fldCharType="end"/>
      </w:r>
      <w:r>
        <w:rPr>
          <w:rFonts w:hint="eastAsia" w:ascii="宋体" w:hAnsi="宋体" w:eastAsia="宋体" w:cs="宋体"/>
          <w:b/>
          <w:bCs/>
          <w:sz w:val="24"/>
          <w:lang w:val="en-US" w:eastAsia="zh-CN"/>
        </w:rPr>
        <w:t>：</w:t>
      </w:r>
    </w:p>
    <w:p w14:paraId="7AEB3A9F">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以顶刊论文为操作案例复现，高效掌握双重差分模型建模技巧与论文写作技巧。</w:t>
      </w:r>
    </w:p>
    <w:p w14:paraId="586C57C2">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firstLine="36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1  双重差分模型（腾笼换鸟的房价效应：以老工业区搬迁改造为例）</w:t>
      </w:r>
    </w:p>
    <w:tbl>
      <w:tblPr>
        <w:tblStyle w:val="7"/>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30B53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095" w:type="dxa"/>
            <w:shd w:val="clear" w:color="auto" w:fill="E6E6E6"/>
            <w:noWrap w:val="0"/>
            <w:vAlign w:val="center"/>
          </w:tcPr>
          <w:p w14:paraId="66B509BB">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7990A301">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4724CBB7">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11B447D1">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78DAB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95" w:type="dxa"/>
            <w:vMerge w:val="restart"/>
            <w:noWrap w:val="0"/>
            <w:vAlign w:val="center"/>
          </w:tcPr>
          <w:p w14:paraId="64B52C11">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双重差分模型（腾笼换鸟的房价效应：以老工业区搬迁改造为例）</w:t>
            </w:r>
          </w:p>
        </w:tc>
        <w:tc>
          <w:tcPr>
            <w:tcW w:w="1240" w:type="dxa"/>
            <w:vMerge w:val="restart"/>
            <w:noWrap w:val="0"/>
            <w:vAlign w:val="center"/>
          </w:tcPr>
          <w:p w14:paraId="0946853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6A3C342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5E83AA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6A49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35C70E3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D9C3F8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6EA5B47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0EFA94C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B7F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257FC8A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CAD1D0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4C6CB0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5B1747B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E6F2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3B2B532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430FE9F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0BBD4C7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任务1：基准回归结果</w:t>
            </w:r>
          </w:p>
        </w:tc>
        <w:tc>
          <w:tcPr>
            <w:tcW w:w="1356" w:type="dxa"/>
            <w:vMerge w:val="continue"/>
            <w:noWrap w:val="0"/>
            <w:vAlign w:val="center"/>
          </w:tcPr>
          <w:p w14:paraId="0C9C6B5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2491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2D9D583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A85D37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EE87B7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任务2：房价断点效应实证结果</w:t>
            </w:r>
          </w:p>
        </w:tc>
        <w:tc>
          <w:tcPr>
            <w:tcW w:w="1356" w:type="dxa"/>
            <w:vMerge w:val="continue"/>
            <w:noWrap w:val="0"/>
            <w:vAlign w:val="center"/>
          </w:tcPr>
          <w:p w14:paraId="2CFF296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B3C5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70034F8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1AE79B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38F89B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任务3：稳健性检验结果</w:t>
            </w:r>
          </w:p>
        </w:tc>
        <w:tc>
          <w:tcPr>
            <w:tcW w:w="1356" w:type="dxa"/>
            <w:vMerge w:val="continue"/>
            <w:noWrap w:val="0"/>
            <w:vAlign w:val="center"/>
          </w:tcPr>
          <w:p w14:paraId="47B97C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9BA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59DF523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C54C41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44D146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任务4：随机抽样结果</w:t>
            </w:r>
          </w:p>
        </w:tc>
        <w:tc>
          <w:tcPr>
            <w:tcW w:w="1356" w:type="dxa"/>
            <w:vMerge w:val="continue"/>
            <w:noWrap w:val="0"/>
            <w:vAlign w:val="center"/>
          </w:tcPr>
          <w:p w14:paraId="6923BFA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85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1CD9CD0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202309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44E8F7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任务5：平行趋势检验结果</w:t>
            </w:r>
          </w:p>
        </w:tc>
        <w:tc>
          <w:tcPr>
            <w:tcW w:w="1356" w:type="dxa"/>
            <w:vMerge w:val="continue"/>
            <w:noWrap w:val="0"/>
            <w:vAlign w:val="center"/>
          </w:tcPr>
          <w:p w14:paraId="4FA4D9F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A99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7307B6E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FEF8B3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A35384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任务6：空间异质性检验结果</w:t>
            </w:r>
          </w:p>
        </w:tc>
        <w:tc>
          <w:tcPr>
            <w:tcW w:w="1356" w:type="dxa"/>
            <w:vMerge w:val="continue"/>
            <w:noWrap w:val="0"/>
            <w:vAlign w:val="center"/>
          </w:tcPr>
          <w:p w14:paraId="2B83089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488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1E7EFA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A602D1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9F1F77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任务7：潜在机制回归结果</w:t>
            </w:r>
          </w:p>
        </w:tc>
        <w:tc>
          <w:tcPr>
            <w:tcW w:w="1356" w:type="dxa"/>
            <w:vMerge w:val="continue"/>
            <w:noWrap w:val="0"/>
            <w:vAlign w:val="center"/>
          </w:tcPr>
          <w:p w14:paraId="5A5ACD9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702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095" w:type="dxa"/>
            <w:vMerge w:val="continue"/>
            <w:noWrap w:val="0"/>
            <w:vAlign w:val="center"/>
          </w:tcPr>
          <w:p w14:paraId="2963F3F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F6157F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8E5989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任务8：房租效应、挂牌价格变化实证结果</w:t>
            </w:r>
          </w:p>
        </w:tc>
        <w:tc>
          <w:tcPr>
            <w:tcW w:w="1356" w:type="dxa"/>
            <w:vMerge w:val="continue"/>
            <w:noWrap w:val="0"/>
            <w:vAlign w:val="center"/>
          </w:tcPr>
          <w:p w14:paraId="00D285A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6D3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095" w:type="dxa"/>
            <w:vMerge w:val="continue"/>
            <w:noWrap w:val="0"/>
            <w:vAlign w:val="center"/>
          </w:tcPr>
          <w:p w14:paraId="0386CAB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240" w:type="dxa"/>
            <w:vMerge w:val="continue"/>
            <w:noWrap w:val="0"/>
            <w:vAlign w:val="center"/>
          </w:tcPr>
          <w:p w14:paraId="0185E77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18"/>
                <w:szCs w:val="18"/>
              </w:rPr>
            </w:pPr>
          </w:p>
        </w:tc>
        <w:tc>
          <w:tcPr>
            <w:tcW w:w="5058" w:type="dxa"/>
            <w:noWrap w:val="0"/>
            <w:vAlign w:val="center"/>
          </w:tcPr>
          <w:p w14:paraId="074448B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任务9：附录</w:t>
            </w:r>
          </w:p>
        </w:tc>
        <w:tc>
          <w:tcPr>
            <w:tcW w:w="1356" w:type="dxa"/>
            <w:vMerge w:val="continue"/>
            <w:noWrap w:val="0"/>
            <w:vAlign w:val="center"/>
          </w:tcPr>
          <w:p w14:paraId="4FC5B0E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bl>
    <w:p w14:paraId="72FAB6D7">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_Toc26033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渐进双重差分模型（制度创新、营商环境与城市创业活力——来自中国自由贸易试验区的证据）</w:t>
      </w:r>
      <w:r>
        <w:rPr>
          <w:rFonts w:hint="eastAsia" w:ascii="宋体" w:hAnsi="宋体" w:eastAsia="宋体" w:cs="宋体"/>
          <w:b/>
          <w:bCs/>
          <w:sz w:val="24"/>
          <w:lang w:val="en-US" w:eastAsia="zh-CN"/>
        </w:rPr>
        <w:fldChar w:fldCharType="end"/>
      </w:r>
    </w:p>
    <w:p w14:paraId="27877FFF">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以顶刊论文为操作案例复现，高效掌握渐进双重差分模型建模技巧与论文写作技巧。</w:t>
      </w:r>
    </w:p>
    <w:p w14:paraId="197E8B1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2</w:t>
      </w:r>
      <w:r>
        <w:rPr>
          <w:rFonts w:hint="eastAsia" w:ascii="宋体" w:hAnsi="宋体" w:eastAsia="宋体" w:cs="宋体"/>
          <w:sz w:val="21"/>
          <w:szCs w:val="21"/>
          <w:lang w:bidi="ar"/>
        </w:rPr>
        <w:t xml:space="preserve"> 渐进双重差分模型（制度创新、营商环境与城市创业活力——来自中国自由贸易试验区的证据）</w:t>
      </w:r>
    </w:p>
    <w:tbl>
      <w:tblPr>
        <w:tblStyle w:val="7"/>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4584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3B451087">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4BD975C1">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045DD5CB">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495ACB9F">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24F15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2D0AEF6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渐进双重差分模型（制度创新、营商环境与城市创业活力—来自中国自由贸易试验区的证据）</w:t>
            </w:r>
          </w:p>
        </w:tc>
        <w:tc>
          <w:tcPr>
            <w:tcW w:w="1240" w:type="dxa"/>
            <w:vMerge w:val="restart"/>
            <w:noWrap w:val="0"/>
            <w:vAlign w:val="center"/>
          </w:tcPr>
          <w:p w14:paraId="7C2D8AC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976110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0462353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23E5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B993CF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4D30DA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66B284E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345C760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3D83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95" w:type="dxa"/>
            <w:vMerge w:val="continue"/>
            <w:noWrap w:val="0"/>
            <w:vAlign w:val="center"/>
          </w:tcPr>
          <w:p w14:paraId="0909B82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3F3093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5EEC247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6FDFA6B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7BE7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FBD5B4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49A9F62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03C2A01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研究设计</w:t>
            </w:r>
          </w:p>
        </w:tc>
        <w:tc>
          <w:tcPr>
            <w:tcW w:w="1356" w:type="dxa"/>
            <w:vMerge w:val="continue"/>
            <w:noWrap w:val="0"/>
            <w:vAlign w:val="center"/>
          </w:tcPr>
          <w:p w14:paraId="6D7E69D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4772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CD13C5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AAA398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666F1A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房价断点效应实证结果</w:t>
            </w:r>
          </w:p>
        </w:tc>
        <w:tc>
          <w:tcPr>
            <w:tcW w:w="1356" w:type="dxa"/>
            <w:vMerge w:val="continue"/>
            <w:noWrap w:val="0"/>
            <w:vAlign w:val="center"/>
          </w:tcPr>
          <w:p w14:paraId="41A6B43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5A1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62B794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165747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D50788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实证方法—DIDM方法适用的问题类型</w:t>
            </w:r>
          </w:p>
        </w:tc>
        <w:tc>
          <w:tcPr>
            <w:tcW w:w="1356" w:type="dxa"/>
            <w:vMerge w:val="continue"/>
            <w:noWrap w:val="0"/>
            <w:vAlign w:val="center"/>
          </w:tcPr>
          <w:p w14:paraId="799336B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3EC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5BCA71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56209A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31EF51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实证方法—DIDM方法的优点</w:t>
            </w:r>
          </w:p>
        </w:tc>
        <w:tc>
          <w:tcPr>
            <w:tcW w:w="1356" w:type="dxa"/>
            <w:vMerge w:val="continue"/>
            <w:noWrap w:val="0"/>
            <w:vAlign w:val="center"/>
          </w:tcPr>
          <w:p w14:paraId="1B8CD07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F50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7C6FA9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552082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B42DEB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实证方法—是否满足DIDM方法的前提假设？</w:t>
            </w:r>
          </w:p>
        </w:tc>
        <w:tc>
          <w:tcPr>
            <w:tcW w:w="1356" w:type="dxa"/>
            <w:vMerge w:val="continue"/>
            <w:noWrap w:val="0"/>
            <w:vAlign w:val="center"/>
          </w:tcPr>
          <w:p w14:paraId="6207587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30D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F02D2D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914D14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EEF0CE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实证结果分析—DIDM方法应做哪些稳健性检验</w:t>
            </w:r>
          </w:p>
        </w:tc>
        <w:tc>
          <w:tcPr>
            <w:tcW w:w="1356" w:type="dxa"/>
            <w:vMerge w:val="continue"/>
            <w:noWrap w:val="0"/>
            <w:vAlign w:val="center"/>
          </w:tcPr>
          <w:p w14:paraId="7181661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F414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EE46CF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878268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62B648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实证结果分析—调节效应回归</w:t>
            </w:r>
          </w:p>
        </w:tc>
        <w:tc>
          <w:tcPr>
            <w:tcW w:w="1356" w:type="dxa"/>
            <w:vMerge w:val="continue"/>
            <w:noWrap w:val="0"/>
            <w:vAlign w:val="center"/>
          </w:tcPr>
          <w:p w14:paraId="3909406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619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78DB7C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2FABE7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ED63C2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实证结果分析—机制分析回归</w:t>
            </w:r>
          </w:p>
        </w:tc>
        <w:tc>
          <w:tcPr>
            <w:tcW w:w="1356" w:type="dxa"/>
            <w:vMerge w:val="continue"/>
            <w:noWrap w:val="0"/>
            <w:vAlign w:val="center"/>
          </w:tcPr>
          <w:p w14:paraId="1145F5A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7EE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92E333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DFCC48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2D3D433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异质性分析</w:t>
            </w:r>
          </w:p>
        </w:tc>
        <w:tc>
          <w:tcPr>
            <w:tcW w:w="1356" w:type="dxa"/>
            <w:vMerge w:val="continue"/>
            <w:noWrap w:val="0"/>
            <w:vAlign w:val="center"/>
          </w:tcPr>
          <w:p w14:paraId="44751C2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5695A45C">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_Toc2513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双向固定效应模型（数字化转型如何影响劳动技能溢价——基于A股上市公司数据的经验研究）</w:t>
      </w:r>
      <w:r>
        <w:rPr>
          <w:rFonts w:hint="eastAsia" w:ascii="宋体" w:hAnsi="宋体" w:eastAsia="宋体" w:cs="宋体"/>
          <w:b/>
          <w:bCs/>
          <w:sz w:val="24"/>
          <w:lang w:val="en-US" w:eastAsia="zh-CN"/>
        </w:rPr>
        <w:fldChar w:fldCharType="end"/>
      </w:r>
    </w:p>
    <w:p w14:paraId="425943FA">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以顶刊论文为操作案例复现，高效掌握双向固定效应模型建模技巧与论文写作技巧。</w:t>
      </w:r>
    </w:p>
    <w:p w14:paraId="4855E39C">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3</w:t>
      </w:r>
      <w:r>
        <w:rPr>
          <w:rFonts w:hint="eastAsia" w:ascii="宋体" w:hAnsi="宋体" w:eastAsia="宋体" w:cs="宋体"/>
          <w:sz w:val="21"/>
          <w:szCs w:val="21"/>
          <w:lang w:bidi="ar"/>
        </w:rPr>
        <w:t xml:space="preserve"> 双向固定效应模型（数字化转型如何影响劳动技能溢价—基于A股上市公司数据的经验研究）</w:t>
      </w:r>
    </w:p>
    <w:tbl>
      <w:tblPr>
        <w:tblStyle w:val="7"/>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52FE1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533E52CC">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29180F98">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433231CC">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92C81F8">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04BE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4CEA77A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p w14:paraId="0F1C0436">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双向固定效应模型（数字化转型如何影响劳动技能溢价—基于A股上市公司数据的经验研究）</w:t>
            </w:r>
          </w:p>
        </w:tc>
        <w:tc>
          <w:tcPr>
            <w:tcW w:w="1240" w:type="dxa"/>
            <w:vMerge w:val="restart"/>
            <w:noWrap w:val="0"/>
            <w:vAlign w:val="center"/>
          </w:tcPr>
          <w:p w14:paraId="43C6F36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09FBEA3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782CAB5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1356C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B6AB5E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AEF413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835889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6CE5375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1793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1AF29B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54DA7E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7E7948F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544D2E6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AB7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C28D9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4CEB62B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实施</w:t>
            </w:r>
            <w:r>
              <w:rPr>
                <w:rFonts w:hint="eastAsia" w:ascii="宋体" w:hAnsi="宋体" w:eastAsia="宋体" w:cs="宋体"/>
                <w:sz w:val="21"/>
                <w:szCs w:val="21"/>
                <w:lang w:val="en-US" w:eastAsia="zh-CN"/>
              </w:rPr>
              <w:t>步骤</w:t>
            </w:r>
          </w:p>
        </w:tc>
        <w:tc>
          <w:tcPr>
            <w:tcW w:w="5058" w:type="dxa"/>
            <w:noWrap w:val="0"/>
            <w:vAlign w:val="center"/>
          </w:tcPr>
          <w:p w14:paraId="2794010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任务1：劳动技能溢价变动趋势</w:t>
            </w:r>
          </w:p>
        </w:tc>
        <w:tc>
          <w:tcPr>
            <w:tcW w:w="1356" w:type="dxa"/>
            <w:vMerge w:val="continue"/>
            <w:noWrap w:val="0"/>
            <w:vAlign w:val="center"/>
          </w:tcPr>
          <w:p w14:paraId="18706B9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31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F31D34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4B512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4A21C3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任务2：要素密集型行业技能溢价的变动趋势</w:t>
            </w:r>
          </w:p>
        </w:tc>
        <w:tc>
          <w:tcPr>
            <w:tcW w:w="1356" w:type="dxa"/>
            <w:vMerge w:val="continue"/>
            <w:noWrap w:val="0"/>
            <w:vAlign w:val="center"/>
          </w:tcPr>
          <w:p w14:paraId="51067BC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D4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8B90CE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7651E2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26C327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基本回归结果</w:t>
            </w:r>
          </w:p>
        </w:tc>
        <w:tc>
          <w:tcPr>
            <w:tcW w:w="1356" w:type="dxa"/>
            <w:vMerge w:val="continue"/>
            <w:noWrap w:val="0"/>
            <w:vAlign w:val="center"/>
          </w:tcPr>
          <w:p w14:paraId="6FA33FE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157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C97C7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44664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BF4392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任务4：工具变量回归结果</w:t>
            </w:r>
          </w:p>
        </w:tc>
        <w:tc>
          <w:tcPr>
            <w:tcW w:w="1356" w:type="dxa"/>
            <w:vMerge w:val="continue"/>
            <w:noWrap w:val="0"/>
            <w:vAlign w:val="center"/>
          </w:tcPr>
          <w:p w14:paraId="7822C3F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5E3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72CC9A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B649DB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F96D1B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任务5：异质性分析回归结果</w:t>
            </w:r>
          </w:p>
        </w:tc>
        <w:tc>
          <w:tcPr>
            <w:tcW w:w="1356" w:type="dxa"/>
            <w:vMerge w:val="continue"/>
            <w:noWrap w:val="0"/>
            <w:vAlign w:val="center"/>
          </w:tcPr>
          <w:p w14:paraId="54B829A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90D1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2D7D6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758D1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C521BB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任务6：机制检验回归结果</w:t>
            </w:r>
          </w:p>
        </w:tc>
        <w:tc>
          <w:tcPr>
            <w:tcW w:w="1356" w:type="dxa"/>
            <w:vMerge w:val="continue"/>
            <w:noWrap w:val="0"/>
            <w:vAlign w:val="center"/>
          </w:tcPr>
          <w:p w14:paraId="61C921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8A31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5D1934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C38737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89EEAC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任务7：“技能挤出”效应检验回归结果</w:t>
            </w:r>
          </w:p>
        </w:tc>
        <w:tc>
          <w:tcPr>
            <w:tcW w:w="1356" w:type="dxa"/>
            <w:vMerge w:val="continue"/>
            <w:noWrap w:val="0"/>
            <w:vAlign w:val="center"/>
          </w:tcPr>
          <w:p w14:paraId="1D55FC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221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AD1404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409BFE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06CC7D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任务8：资本—技能互补性的回归结果</w:t>
            </w:r>
          </w:p>
        </w:tc>
        <w:tc>
          <w:tcPr>
            <w:tcW w:w="1356" w:type="dxa"/>
            <w:vMerge w:val="continue"/>
            <w:noWrap w:val="0"/>
            <w:vAlign w:val="center"/>
          </w:tcPr>
          <w:p w14:paraId="3D4BD0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013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6FF359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ACAC75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CDD8AC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任务9：主要变量描述性统计</w:t>
            </w:r>
          </w:p>
        </w:tc>
        <w:tc>
          <w:tcPr>
            <w:tcW w:w="1356" w:type="dxa"/>
            <w:vMerge w:val="continue"/>
            <w:noWrap w:val="0"/>
            <w:vAlign w:val="center"/>
          </w:tcPr>
          <w:p w14:paraId="3B5ED44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9AF9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9EE36F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DB75F3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CCB7AA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任务10：利用可观测变量评估未观测变量的偏差程度</w:t>
            </w:r>
          </w:p>
        </w:tc>
        <w:tc>
          <w:tcPr>
            <w:tcW w:w="1356" w:type="dxa"/>
            <w:vMerge w:val="continue"/>
            <w:noWrap w:val="0"/>
            <w:vAlign w:val="center"/>
          </w:tcPr>
          <w:p w14:paraId="5A9F5BC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D93C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1474EE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DACCEF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60EE3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任务11：更换估计方法回归结果</w:t>
            </w:r>
          </w:p>
        </w:tc>
        <w:tc>
          <w:tcPr>
            <w:tcW w:w="1356" w:type="dxa"/>
            <w:vMerge w:val="continue"/>
            <w:noWrap w:val="0"/>
            <w:vAlign w:val="center"/>
          </w:tcPr>
          <w:p w14:paraId="769AC93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0F7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7B085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8B450B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ADBE9D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任务12：更换核心变量回归结果</w:t>
            </w:r>
          </w:p>
        </w:tc>
        <w:tc>
          <w:tcPr>
            <w:tcW w:w="1356" w:type="dxa"/>
            <w:vMerge w:val="continue"/>
            <w:noWrap w:val="0"/>
            <w:vAlign w:val="center"/>
          </w:tcPr>
          <w:p w14:paraId="45DC696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BB24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6DCEB4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A6B386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DCE2B8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任务13：排除其他政策性干扰回归结果</w:t>
            </w:r>
          </w:p>
        </w:tc>
        <w:tc>
          <w:tcPr>
            <w:tcW w:w="1356" w:type="dxa"/>
            <w:vMerge w:val="continue"/>
            <w:noWrap w:val="0"/>
            <w:vAlign w:val="center"/>
          </w:tcPr>
          <w:p w14:paraId="1596429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FB5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DBB16D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01B8E7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9986CD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任务14：排除企业夸大性信息披露影响回归结果</w:t>
            </w:r>
          </w:p>
        </w:tc>
        <w:tc>
          <w:tcPr>
            <w:tcW w:w="1356" w:type="dxa"/>
            <w:vMerge w:val="continue"/>
            <w:noWrap w:val="0"/>
            <w:vAlign w:val="center"/>
          </w:tcPr>
          <w:p w14:paraId="3953F5A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B707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D8F94D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EDAB94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13D2C2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任务15：数字化关键词均值统计</w:t>
            </w:r>
          </w:p>
        </w:tc>
        <w:tc>
          <w:tcPr>
            <w:tcW w:w="1356" w:type="dxa"/>
            <w:vMerge w:val="continue"/>
            <w:noWrap w:val="0"/>
            <w:vAlign w:val="center"/>
          </w:tcPr>
          <w:p w14:paraId="544C14D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212B8C7A">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_Toc21356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交叠双重差分模型（产能过剩与环境规制相机选择——基于正式与非正式环境规制视角）</w:t>
      </w:r>
      <w:r>
        <w:rPr>
          <w:rFonts w:hint="eastAsia" w:ascii="宋体" w:hAnsi="宋体" w:eastAsia="宋体" w:cs="宋体"/>
          <w:b/>
          <w:bCs/>
          <w:sz w:val="24"/>
          <w:lang w:val="en-US" w:eastAsia="zh-CN"/>
        </w:rPr>
        <w:fldChar w:fldCharType="end"/>
      </w:r>
    </w:p>
    <w:p w14:paraId="62E534FF">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以顶刊论文为操作案例复现，高效掌握交叠双重差分模型建模技巧与论文写作技巧。</w:t>
      </w:r>
    </w:p>
    <w:p w14:paraId="575F263A">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4</w:t>
      </w:r>
      <w:r>
        <w:rPr>
          <w:rFonts w:hint="eastAsia" w:ascii="宋体" w:hAnsi="宋体" w:eastAsia="宋体" w:cs="宋体"/>
          <w:sz w:val="21"/>
          <w:szCs w:val="21"/>
          <w:lang w:bidi="ar"/>
        </w:rPr>
        <w:t>交叠双重差分模型（产能过剩与环境规制相机选择——基于正式与非正式环境规制视角）</w:t>
      </w:r>
    </w:p>
    <w:tbl>
      <w:tblPr>
        <w:tblStyle w:val="7"/>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4"/>
        <w:gridCol w:w="850"/>
        <w:gridCol w:w="4899"/>
        <w:gridCol w:w="1268"/>
      </w:tblGrid>
      <w:tr w14:paraId="0D3A8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934" w:type="dxa"/>
            <w:shd w:val="clear" w:color="auto" w:fill="E6E6E6"/>
            <w:noWrap w:val="0"/>
            <w:vAlign w:val="center"/>
          </w:tcPr>
          <w:p w14:paraId="250F14D6">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850" w:type="dxa"/>
            <w:shd w:val="clear" w:color="auto" w:fill="E6E6E6"/>
            <w:noWrap w:val="0"/>
            <w:vAlign w:val="center"/>
          </w:tcPr>
          <w:p w14:paraId="75DF0850">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4899" w:type="dxa"/>
            <w:shd w:val="clear" w:color="auto" w:fill="E6E6E6"/>
            <w:noWrap w:val="0"/>
            <w:vAlign w:val="center"/>
          </w:tcPr>
          <w:p w14:paraId="25FE184D">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268" w:type="dxa"/>
            <w:shd w:val="clear" w:color="auto" w:fill="E6E6E6"/>
            <w:noWrap w:val="0"/>
            <w:vAlign w:val="center"/>
          </w:tcPr>
          <w:p w14:paraId="597B219E">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1AE98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934" w:type="dxa"/>
            <w:vMerge w:val="restart"/>
            <w:noWrap w:val="0"/>
            <w:vAlign w:val="center"/>
          </w:tcPr>
          <w:p w14:paraId="5DC4D1C4">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交叠双重差分模型（产能过剩与环境规制相机选择—基于正式与非正式环境规制视角）</w:t>
            </w:r>
          </w:p>
        </w:tc>
        <w:tc>
          <w:tcPr>
            <w:tcW w:w="850" w:type="dxa"/>
            <w:vMerge w:val="restart"/>
            <w:noWrap w:val="0"/>
            <w:vAlign w:val="center"/>
          </w:tcPr>
          <w:p w14:paraId="070F093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4899" w:type="dxa"/>
            <w:noWrap w:val="0"/>
            <w:vAlign w:val="center"/>
          </w:tcPr>
          <w:p w14:paraId="74F9DA5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268" w:type="dxa"/>
            <w:vMerge w:val="restart"/>
            <w:noWrap w:val="0"/>
            <w:vAlign w:val="center"/>
          </w:tcPr>
          <w:p w14:paraId="5E1EE85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2A1C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934" w:type="dxa"/>
            <w:vMerge w:val="continue"/>
            <w:noWrap w:val="0"/>
            <w:vAlign w:val="center"/>
          </w:tcPr>
          <w:p w14:paraId="6FA16CC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850" w:type="dxa"/>
            <w:vMerge w:val="continue"/>
            <w:noWrap w:val="0"/>
            <w:vAlign w:val="center"/>
          </w:tcPr>
          <w:p w14:paraId="7D48A95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4899" w:type="dxa"/>
            <w:noWrap w:val="0"/>
            <w:vAlign w:val="center"/>
          </w:tcPr>
          <w:p w14:paraId="7CA4052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268" w:type="dxa"/>
            <w:vMerge w:val="continue"/>
            <w:noWrap w:val="0"/>
            <w:vAlign w:val="center"/>
          </w:tcPr>
          <w:p w14:paraId="5D53EB3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69802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934" w:type="dxa"/>
            <w:vMerge w:val="continue"/>
            <w:noWrap w:val="0"/>
            <w:vAlign w:val="center"/>
          </w:tcPr>
          <w:p w14:paraId="6F3647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850" w:type="dxa"/>
            <w:vMerge w:val="continue"/>
            <w:noWrap w:val="0"/>
            <w:vAlign w:val="center"/>
          </w:tcPr>
          <w:p w14:paraId="7F98D7A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4899" w:type="dxa"/>
            <w:noWrap w:val="0"/>
            <w:vAlign w:val="center"/>
          </w:tcPr>
          <w:p w14:paraId="0508EF6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268" w:type="dxa"/>
            <w:vMerge w:val="continue"/>
            <w:noWrap w:val="0"/>
            <w:vAlign w:val="center"/>
          </w:tcPr>
          <w:p w14:paraId="1BB1D4C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0E252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blHeader/>
          <w:jc w:val="center"/>
        </w:trPr>
        <w:tc>
          <w:tcPr>
            <w:tcW w:w="1934" w:type="dxa"/>
            <w:vMerge w:val="continue"/>
            <w:noWrap w:val="0"/>
            <w:vAlign w:val="center"/>
          </w:tcPr>
          <w:p w14:paraId="4DC8800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850" w:type="dxa"/>
            <w:vMerge w:val="restart"/>
            <w:noWrap w:val="0"/>
            <w:vAlign w:val="center"/>
          </w:tcPr>
          <w:p w14:paraId="30E3DFA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实施步骤</w:t>
            </w:r>
          </w:p>
        </w:tc>
        <w:tc>
          <w:tcPr>
            <w:tcW w:w="4899" w:type="dxa"/>
            <w:noWrap w:val="0"/>
            <w:vAlign w:val="center"/>
          </w:tcPr>
          <w:p w14:paraId="1DB505D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环境规制对企业环境与经济绩效的影响</w:t>
            </w:r>
          </w:p>
        </w:tc>
        <w:tc>
          <w:tcPr>
            <w:tcW w:w="1268" w:type="dxa"/>
            <w:vMerge w:val="continue"/>
            <w:noWrap w:val="0"/>
            <w:vAlign w:val="center"/>
          </w:tcPr>
          <w:p w14:paraId="60F802E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A64B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blHeader/>
          <w:jc w:val="center"/>
        </w:trPr>
        <w:tc>
          <w:tcPr>
            <w:tcW w:w="1934" w:type="dxa"/>
            <w:vMerge w:val="continue"/>
            <w:noWrap w:val="0"/>
            <w:vAlign w:val="center"/>
          </w:tcPr>
          <w:p w14:paraId="7D0B180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850" w:type="dxa"/>
            <w:vMerge w:val="continue"/>
            <w:noWrap w:val="0"/>
            <w:vAlign w:val="center"/>
          </w:tcPr>
          <w:p w14:paraId="2D3FBD9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4899" w:type="dxa"/>
            <w:noWrap w:val="0"/>
            <w:vAlign w:val="center"/>
          </w:tcPr>
          <w:p w14:paraId="75D9648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产能利用视角下环境规制对企业环境与经济绩效的影响</w:t>
            </w:r>
          </w:p>
        </w:tc>
        <w:tc>
          <w:tcPr>
            <w:tcW w:w="1268" w:type="dxa"/>
            <w:vMerge w:val="continue"/>
            <w:noWrap w:val="0"/>
            <w:vAlign w:val="center"/>
          </w:tcPr>
          <w:p w14:paraId="1E01BB8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23694CE3">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_Toc13532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β收敛模型（共同富裕的测度与驱动机制研究）</w:t>
      </w:r>
      <w:r>
        <w:rPr>
          <w:rFonts w:hint="eastAsia" w:ascii="宋体" w:hAnsi="宋体" w:eastAsia="宋体" w:cs="宋体"/>
          <w:b/>
          <w:bCs/>
          <w:sz w:val="24"/>
          <w:lang w:val="en-US" w:eastAsia="zh-CN"/>
        </w:rPr>
        <w:fldChar w:fldCharType="end"/>
      </w:r>
    </w:p>
    <w:p w14:paraId="33A20797">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以顶刊论文为操作案例复现，高效掌握β收敛模型建模技巧与论文写作技巧。</w:t>
      </w:r>
    </w:p>
    <w:p w14:paraId="7815C3B6">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5</w:t>
      </w:r>
      <w:r>
        <w:rPr>
          <w:rFonts w:hint="eastAsia" w:ascii="宋体" w:hAnsi="宋体" w:eastAsia="宋体" w:cs="宋体"/>
          <w:sz w:val="21"/>
          <w:szCs w:val="21"/>
          <w:lang w:bidi="ar"/>
        </w:rPr>
        <w:t xml:space="preserve"> </w:t>
      </w:r>
      <w:r>
        <w:rPr>
          <w:rFonts w:hint="eastAsia" w:ascii="宋体" w:hAnsi="宋体" w:eastAsia="宋体" w:cs="宋体"/>
          <w:sz w:val="21"/>
          <w:szCs w:val="21"/>
          <w:lang w:val="en-US" w:eastAsia="zh-CN" w:bidi="ar"/>
        </w:rPr>
        <w:t>β收敛模型（共同富裕的测度与驱动机制研究）</w:t>
      </w:r>
    </w:p>
    <w:tbl>
      <w:tblPr>
        <w:tblStyle w:val="7"/>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3D37F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blHeader/>
          <w:jc w:val="center"/>
        </w:trPr>
        <w:tc>
          <w:tcPr>
            <w:tcW w:w="1095" w:type="dxa"/>
            <w:shd w:val="clear" w:color="auto" w:fill="E6E6E6"/>
            <w:noWrap w:val="0"/>
            <w:vAlign w:val="center"/>
          </w:tcPr>
          <w:p w14:paraId="46DDE619">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385AB2EE">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6DCA53BB">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6543F7B">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0304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03FF2FE1">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β收敛模型（共同富裕的测度与驱动机制研究）</w:t>
            </w:r>
          </w:p>
          <w:p w14:paraId="7B11782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7E93C21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55E3098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2FF9A7C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63D51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352D28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9F4419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73790EC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005DD8A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47C0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7CDE36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1C93B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7056A8D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2E94764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0951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FE3E1B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610AE1F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0F92C45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任务1：各类收入β收敛检验结果</w:t>
            </w:r>
          </w:p>
        </w:tc>
        <w:tc>
          <w:tcPr>
            <w:tcW w:w="1356" w:type="dxa"/>
            <w:vMerge w:val="continue"/>
            <w:noWrap w:val="0"/>
            <w:vAlign w:val="center"/>
          </w:tcPr>
          <w:p w14:paraId="3CA8F7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5D8B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A48CB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83D3A8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70CB68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任务2：各类基尼系数β收敛检验结果</w:t>
            </w:r>
          </w:p>
        </w:tc>
        <w:tc>
          <w:tcPr>
            <w:tcW w:w="1356" w:type="dxa"/>
            <w:vMerge w:val="continue"/>
            <w:noWrap w:val="0"/>
            <w:vAlign w:val="center"/>
          </w:tcPr>
          <w:p w14:paraId="244DF9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F3A7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A8F3E4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6040E8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79B81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各类收入分阶段条件β收敛</w:t>
            </w:r>
          </w:p>
        </w:tc>
        <w:tc>
          <w:tcPr>
            <w:tcW w:w="1356" w:type="dxa"/>
            <w:vMerge w:val="continue"/>
            <w:noWrap w:val="0"/>
            <w:vAlign w:val="center"/>
          </w:tcPr>
          <w:p w14:paraId="0CC68E9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E1B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FACA56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555DB1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C3DE99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任务4：</w:t>
            </w:r>
            <w:r>
              <w:rPr>
                <w:rFonts w:hint="eastAsia" w:ascii="宋体" w:hAnsi="宋体" w:eastAsia="宋体" w:cs="宋体"/>
                <w:b w:val="0"/>
                <w:kern w:val="2"/>
                <w:sz w:val="21"/>
                <w:szCs w:val="21"/>
                <w:lang w:val="en-US" w:eastAsia="zh-CN" w:bidi="ar"/>
              </w:rPr>
              <w:t>稳健性检验：地级市层面－各类收入β收敛检验结果</w:t>
            </w:r>
          </w:p>
        </w:tc>
        <w:tc>
          <w:tcPr>
            <w:tcW w:w="1356" w:type="dxa"/>
            <w:vMerge w:val="continue"/>
            <w:noWrap w:val="0"/>
            <w:vAlign w:val="center"/>
          </w:tcPr>
          <w:p w14:paraId="5D08E44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ECBA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F1829D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0DD19D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13992A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任务5：</w:t>
            </w:r>
            <w:r>
              <w:rPr>
                <w:rFonts w:hint="eastAsia" w:ascii="宋体" w:hAnsi="宋体" w:eastAsia="宋体" w:cs="宋体"/>
                <w:b w:val="0"/>
                <w:kern w:val="2"/>
                <w:sz w:val="21"/>
                <w:szCs w:val="21"/>
                <w:lang w:val="en-US" w:eastAsia="zh-CN" w:bidi="ar"/>
              </w:rPr>
              <w:t>稳健性检验：调整后基尼系数的检验结果</w:t>
            </w:r>
          </w:p>
        </w:tc>
        <w:tc>
          <w:tcPr>
            <w:tcW w:w="1356" w:type="dxa"/>
            <w:vMerge w:val="continue"/>
            <w:noWrap w:val="0"/>
            <w:vAlign w:val="center"/>
          </w:tcPr>
          <w:p w14:paraId="0541A9F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4EC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DA8240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358CD4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F44892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任务6：使用CLDS计算的基尼系数的收敛性检验</w:t>
            </w:r>
          </w:p>
        </w:tc>
        <w:tc>
          <w:tcPr>
            <w:tcW w:w="1356" w:type="dxa"/>
            <w:vMerge w:val="continue"/>
            <w:noWrap w:val="0"/>
            <w:vAlign w:val="center"/>
          </w:tcPr>
          <w:p w14:paraId="68B4704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3B3E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A5D3D8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AA117C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A1C363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任务7：数字普惠金融和传统金融的直接效应</w:t>
            </w:r>
          </w:p>
        </w:tc>
        <w:tc>
          <w:tcPr>
            <w:tcW w:w="1356" w:type="dxa"/>
            <w:vMerge w:val="continue"/>
            <w:noWrap w:val="0"/>
            <w:vAlign w:val="center"/>
          </w:tcPr>
          <w:p w14:paraId="3D6ACCB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6497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64DB57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99E716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CC71DA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任务8：条件β收敛检验结果</w:t>
            </w:r>
          </w:p>
        </w:tc>
        <w:tc>
          <w:tcPr>
            <w:tcW w:w="1356" w:type="dxa"/>
            <w:vMerge w:val="continue"/>
            <w:noWrap w:val="0"/>
            <w:vAlign w:val="center"/>
          </w:tcPr>
          <w:p w14:paraId="4E1625F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E649BB0">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_Toc30008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强度双重差分模型（生产性政府债务与城市创新力—基于中国城市面板数据的经验研究）</w:t>
      </w:r>
      <w:r>
        <w:rPr>
          <w:rFonts w:hint="eastAsia" w:ascii="宋体" w:hAnsi="宋体" w:eastAsia="宋体" w:cs="宋体"/>
          <w:b/>
          <w:bCs/>
          <w:sz w:val="24"/>
          <w:lang w:val="en-US" w:eastAsia="zh-CN"/>
        </w:rPr>
        <w:fldChar w:fldCharType="end"/>
      </w:r>
    </w:p>
    <w:p w14:paraId="5BF0E4C0">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以顶刊论文为操作案例复现，高效掌握强度双重差分模型建模技巧与论文写作技巧。</w:t>
      </w:r>
    </w:p>
    <w:p w14:paraId="3E01B9C8">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6</w:t>
      </w:r>
      <w:r>
        <w:rPr>
          <w:rFonts w:hint="eastAsia" w:ascii="宋体" w:hAnsi="宋体" w:eastAsia="宋体" w:cs="宋体"/>
          <w:sz w:val="21"/>
          <w:szCs w:val="21"/>
          <w:lang w:bidi="ar"/>
        </w:rPr>
        <w:t xml:space="preserve"> </w:t>
      </w:r>
      <w:r>
        <w:rPr>
          <w:rFonts w:hint="eastAsia" w:ascii="宋体" w:hAnsi="宋体" w:eastAsia="宋体" w:cs="宋体"/>
          <w:sz w:val="21"/>
          <w:szCs w:val="21"/>
          <w:lang w:val="en-US" w:eastAsia="zh-CN" w:bidi="ar"/>
        </w:rPr>
        <w:t>强度双重差分模型（生产性政府债务与城市创新力—基于中国城市面板数据的经验研究）</w:t>
      </w:r>
    </w:p>
    <w:tbl>
      <w:tblPr>
        <w:tblStyle w:val="7"/>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4FF1D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7DA63011">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336F2700">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4713608F">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6C2ADAF2">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7B3B5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028A8AE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bidi="ar"/>
              </w:rPr>
              <w:t>强度双重差分模型（生产性政府债务与城市创新力—基于中国城市面板数据的经验研究）</w:t>
            </w:r>
          </w:p>
        </w:tc>
        <w:tc>
          <w:tcPr>
            <w:tcW w:w="1240" w:type="dxa"/>
            <w:vMerge w:val="restart"/>
            <w:noWrap w:val="0"/>
            <w:vAlign w:val="center"/>
          </w:tcPr>
          <w:p w14:paraId="526CFED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AB634B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5A3A822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3C2F8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85A7C9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2A4814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C5FA8B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7F66DD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2264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4A6B28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950130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20F413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07B5A49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6C9AA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DCF304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16A465D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24BD0A1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任务1：生产性地方政府债务与城市创新力</w:t>
            </w:r>
          </w:p>
        </w:tc>
        <w:tc>
          <w:tcPr>
            <w:tcW w:w="1356" w:type="dxa"/>
            <w:vMerge w:val="continue"/>
            <w:noWrap w:val="0"/>
            <w:vAlign w:val="center"/>
          </w:tcPr>
          <w:p w14:paraId="6B206AA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DD8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84FD35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E33BE7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8942C5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任务2：地方政府债务与城市创新力（IV）</w:t>
            </w:r>
          </w:p>
        </w:tc>
        <w:tc>
          <w:tcPr>
            <w:tcW w:w="1356" w:type="dxa"/>
            <w:vMerge w:val="continue"/>
            <w:noWrap w:val="0"/>
            <w:vAlign w:val="center"/>
          </w:tcPr>
          <w:p w14:paraId="0910AF0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A2BE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9B4FB7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291823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B5963A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任务3：机制检验结果</w:t>
            </w:r>
          </w:p>
        </w:tc>
        <w:tc>
          <w:tcPr>
            <w:tcW w:w="1356" w:type="dxa"/>
            <w:vMerge w:val="continue"/>
            <w:noWrap w:val="0"/>
            <w:vAlign w:val="center"/>
          </w:tcPr>
          <w:p w14:paraId="1F7BBBD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F1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A149A4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0CF167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5A00A2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任务4：机制检验的进一步分析结果</w:t>
            </w:r>
          </w:p>
        </w:tc>
        <w:tc>
          <w:tcPr>
            <w:tcW w:w="1356" w:type="dxa"/>
            <w:vMerge w:val="continue"/>
            <w:noWrap w:val="0"/>
            <w:vAlign w:val="center"/>
          </w:tcPr>
          <w:p w14:paraId="770129A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232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DF7F0E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5895EC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087732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任务5：生产性地方政府债务对不同区域城市创新力的影响</w:t>
            </w:r>
          </w:p>
        </w:tc>
        <w:tc>
          <w:tcPr>
            <w:tcW w:w="1356" w:type="dxa"/>
            <w:vMerge w:val="continue"/>
            <w:noWrap w:val="0"/>
            <w:vAlign w:val="center"/>
          </w:tcPr>
          <w:p w14:paraId="499722D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B92E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E8D4AE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4F3905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8AD8E9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任务6：生产性地方政府债务对城市创新力的影响差异</w:t>
            </w:r>
          </w:p>
        </w:tc>
        <w:tc>
          <w:tcPr>
            <w:tcW w:w="1356" w:type="dxa"/>
            <w:vMerge w:val="continue"/>
            <w:noWrap w:val="0"/>
            <w:vAlign w:val="center"/>
          </w:tcPr>
          <w:p w14:paraId="531E211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5F2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2092F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2F7C09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1A9741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任务7:2006—2014 年主要变量统计描述</w:t>
            </w:r>
          </w:p>
        </w:tc>
        <w:tc>
          <w:tcPr>
            <w:tcW w:w="1356" w:type="dxa"/>
            <w:vMerge w:val="continue"/>
            <w:noWrap w:val="0"/>
            <w:vAlign w:val="center"/>
          </w:tcPr>
          <w:p w14:paraId="5DDE82A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EE5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2F7B33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73CADD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D5D2BD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任务8：更换核心解释变量</w:t>
            </w:r>
          </w:p>
        </w:tc>
        <w:tc>
          <w:tcPr>
            <w:tcW w:w="1356" w:type="dxa"/>
            <w:vMerge w:val="continue"/>
            <w:noWrap w:val="0"/>
            <w:vAlign w:val="center"/>
          </w:tcPr>
          <w:p w14:paraId="1FB4BDF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50CB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041F9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7EEED2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EFC1C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任务9：</w:t>
            </w:r>
            <w:r>
              <w:rPr>
                <w:rFonts w:hint="eastAsia" w:ascii="宋体" w:hAnsi="宋体" w:eastAsia="宋体" w:cs="宋体"/>
                <w:sz w:val="21"/>
                <w:szCs w:val="21"/>
                <w:lang w:val="en-US" w:eastAsia="zh-CN"/>
              </w:rPr>
              <w:t>平行趋势检验</w:t>
            </w:r>
          </w:p>
        </w:tc>
        <w:tc>
          <w:tcPr>
            <w:tcW w:w="1356" w:type="dxa"/>
            <w:vMerge w:val="continue"/>
            <w:noWrap w:val="0"/>
            <w:vAlign w:val="center"/>
          </w:tcPr>
          <w:p w14:paraId="639DA8B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C662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9E0EB2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C7E017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E817EA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任务10：</w:t>
            </w:r>
            <w:r>
              <w:rPr>
                <w:rFonts w:hint="eastAsia" w:ascii="宋体" w:hAnsi="宋体" w:eastAsia="宋体" w:cs="宋体"/>
                <w:sz w:val="21"/>
                <w:szCs w:val="21"/>
                <w:lang w:val="en-US" w:eastAsia="zh-CN"/>
              </w:rPr>
              <w:t>随机处理后系数估计值的分布</w:t>
            </w:r>
          </w:p>
        </w:tc>
        <w:tc>
          <w:tcPr>
            <w:tcW w:w="1356" w:type="dxa"/>
            <w:vMerge w:val="continue"/>
            <w:noWrap w:val="0"/>
            <w:vAlign w:val="center"/>
          </w:tcPr>
          <w:p w14:paraId="2BAEB59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011D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14D710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AD72D3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253EC23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任务11：</w:t>
            </w:r>
            <w:r>
              <w:rPr>
                <w:rFonts w:hint="eastAsia" w:ascii="宋体" w:hAnsi="宋体" w:eastAsia="宋体" w:cs="宋体"/>
                <w:sz w:val="21"/>
                <w:szCs w:val="21"/>
                <w:lang w:val="en-US" w:eastAsia="zh-CN"/>
              </w:rPr>
              <w:t>排除国家创新型城市的影响</w:t>
            </w:r>
          </w:p>
        </w:tc>
        <w:tc>
          <w:tcPr>
            <w:tcW w:w="1356" w:type="dxa"/>
            <w:vMerge w:val="continue"/>
            <w:noWrap w:val="0"/>
            <w:vAlign w:val="center"/>
          </w:tcPr>
          <w:p w14:paraId="382BC3E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3C84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D5CE7A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436516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73B89F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任务12：</w:t>
            </w:r>
            <w:r>
              <w:rPr>
                <w:rFonts w:hint="eastAsia" w:ascii="宋体" w:hAnsi="宋体" w:eastAsia="宋体" w:cs="宋体"/>
                <w:sz w:val="21"/>
                <w:szCs w:val="21"/>
                <w:lang w:val="en-US" w:eastAsia="zh-CN"/>
              </w:rPr>
              <w:t>更换数据</w:t>
            </w:r>
          </w:p>
        </w:tc>
        <w:tc>
          <w:tcPr>
            <w:tcW w:w="1356" w:type="dxa"/>
            <w:vMerge w:val="continue"/>
            <w:noWrap w:val="0"/>
            <w:vAlign w:val="center"/>
          </w:tcPr>
          <w:p w14:paraId="4B6361E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60E7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A0C0A6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731086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910C52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任务13：</w:t>
            </w:r>
            <w:r>
              <w:rPr>
                <w:rFonts w:hint="eastAsia" w:ascii="宋体" w:hAnsi="宋体" w:eastAsia="宋体" w:cs="宋体"/>
                <w:sz w:val="21"/>
                <w:szCs w:val="21"/>
                <w:lang w:val="en-US" w:eastAsia="zh-CN"/>
              </w:rPr>
              <w:t>被解释变量前置一期</w:t>
            </w:r>
          </w:p>
        </w:tc>
        <w:tc>
          <w:tcPr>
            <w:tcW w:w="1356" w:type="dxa"/>
            <w:vMerge w:val="continue"/>
            <w:noWrap w:val="0"/>
            <w:vAlign w:val="center"/>
          </w:tcPr>
          <w:p w14:paraId="3AF606C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2EC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5F5C7D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B091A2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12F5C9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任务14：</w:t>
            </w:r>
            <w:r>
              <w:rPr>
                <w:rFonts w:hint="eastAsia" w:ascii="宋体" w:hAnsi="宋体" w:eastAsia="宋体" w:cs="宋体"/>
                <w:sz w:val="21"/>
                <w:szCs w:val="21"/>
                <w:lang w:val="en-US" w:eastAsia="zh-CN"/>
              </w:rPr>
              <w:t>机制分析的稳健性检验（一）</w:t>
            </w:r>
          </w:p>
        </w:tc>
        <w:tc>
          <w:tcPr>
            <w:tcW w:w="1356" w:type="dxa"/>
            <w:vMerge w:val="continue"/>
            <w:noWrap w:val="0"/>
            <w:vAlign w:val="center"/>
          </w:tcPr>
          <w:p w14:paraId="0F06A09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4D6F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4C4A1B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9E1170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0B3A22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任务15：</w:t>
            </w:r>
            <w:r>
              <w:rPr>
                <w:rFonts w:hint="eastAsia" w:ascii="宋体" w:hAnsi="宋体" w:eastAsia="宋体" w:cs="宋体"/>
                <w:sz w:val="21"/>
                <w:szCs w:val="21"/>
                <w:lang w:val="en-US" w:eastAsia="zh-CN"/>
              </w:rPr>
              <w:t>机制分析的稳健性检验（二）</w:t>
            </w:r>
          </w:p>
        </w:tc>
        <w:tc>
          <w:tcPr>
            <w:tcW w:w="1356" w:type="dxa"/>
            <w:vMerge w:val="continue"/>
            <w:noWrap w:val="0"/>
            <w:vAlign w:val="center"/>
          </w:tcPr>
          <w:p w14:paraId="693B1B4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66F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537479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D956C3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BB81FB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任务16：</w:t>
            </w:r>
            <w:r>
              <w:rPr>
                <w:rFonts w:hint="eastAsia" w:ascii="宋体" w:hAnsi="宋体" w:eastAsia="宋体" w:cs="宋体"/>
                <w:sz w:val="21"/>
                <w:szCs w:val="21"/>
                <w:lang w:val="en-US" w:eastAsia="zh-CN"/>
              </w:rPr>
              <w:t>机制分析的稳健性检验（三）</w:t>
            </w:r>
          </w:p>
        </w:tc>
        <w:tc>
          <w:tcPr>
            <w:tcW w:w="1356" w:type="dxa"/>
            <w:vMerge w:val="continue"/>
            <w:noWrap w:val="0"/>
            <w:vAlign w:val="center"/>
          </w:tcPr>
          <w:p w14:paraId="2B36B7C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415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A1753F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67B18C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DC240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任务17：</w:t>
            </w:r>
            <w:r>
              <w:rPr>
                <w:rFonts w:hint="eastAsia" w:ascii="宋体" w:hAnsi="宋体" w:eastAsia="宋体" w:cs="宋体"/>
                <w:sz w:val="21"/>
                <w:szCs w:val="21"/>
                <w:lang w:val="en-US" w:eastAsia="zh-CN"/>
              </w:rPr>
              <w:t>城投债与城市创新力</w:t>
            </w:r>
          </w:p>
        </w:tc>
        <w:tc>
          <w:tcPr>
            <w:tcW w:w="1356" w:type="dxa"/>
            <w:vMerge w:val="continue"/>
            <w:noWrap w:val="0"/>
            <w:vAlign w:val="center"/>
          </w:tcPr>
          <w:p w14:paraId="04AC5F8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745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E2CE1B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CD4030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AA4C56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任务18：</w:t>
            </w:r>
            <w:r>
              <w:rPr>
                <w:rFonts w:hint="eastAsia" w:ascii="宋体" w:hAnsi="宋体" w:eastAsia="宋体" w:cs="宋体"/>
                <w:sz w:val="21"/>
                <w:szCs w:val="21"/>
                <w:lang w:val="en-US" w:eastAsia="zh-CN"/>
              </w:rPr>
              <w:t>地方政府债与城市创新力</w:t>
            </w:r>
          </w:p>
        </w:tc>
        <w:tc>
          <w:tcPr>
            <w:tcW w:w="1356" w:type="dxa"/>
            <w:vMerge w:val="continue"/>
            <w:noWrap w:val="0"/>
            <w:vAlign w:val="center"/>
          </w:tcPr>
          <w:p w14:paraId="058166D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2D3C9EA0">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_Toc26573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面板门槛效应回归模型（“强省会”战略的创新效应研究）</w:t>
      </w:r>
      <w:r>
        <w:rPr>
          <w:rFonts w:hint="eastAsia" w:ascii="宋体" w:hAnsi="宋体" w:eastAsia="宋体" w:cs="宋体"/>
          <w:b/>
          <w:bCs/>
          <w:sz w:val="24"/>
          <w:lang w:val="en-US" w:eastAsia="zh-CN"/>
        </w:rPr>
        <w:fldChar w:fldCharType="end"/>
      </w:r>
    </w:p>
    <w:p w14:paraId="5226167C">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以顶刊论文为操作案例复现，高效掌握面板门槛效应回归模型建模技巧与论文写作技巧。</w:t>
      </w:r>
    </w:p>
    <w:p w14:paraId="0537AF26">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7</w:t>
      </w:r>
      <w:r>
        <w:rPr>
          <w:rFonts w:hint="eastAsia" w:ascii="宋体" w:hAnsi="宋体" w:eastAsia="宋体" w:cs="宋体"/>
          <w:sz w:val="21"/>
          <w:szCs w:val="21"/>
          <w:lang w:bidi="ar"/>
        </w:rPr>
        <w:t xml:space="preserve"> 面板门槛效应回归模型（“强省会”战略的创新效应研究）</w:t>
      </w:r>
    </w:p>
    <w:tbl>
      <w:tblPr>
        <w:tblStyle w:val="7"/>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0845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2CAD6310">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4E8D380E">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4E1EEC2E">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0D4041A">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6DA0A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6B27E455">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面板门槛效应回归模型（“强省会”战略的创新效应研究）</w:t>
            </w:r>
          </w:p>
        </w:tc>
        <w:tc>
          <w:tcPr>
            <w:tcW w:w="1240" w:type="dxa"/>
            <w:vMerge w:val="restart"/>
            <w:noWrap w:val="0"/>
            <w:vAlign w:val="center"/>
          </w:tcPr>
          <w:p w14:paraId="068F2AB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16963D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01B27C5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77E80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84B033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A3CDD9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564B5B5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64A09F8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1921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D91E90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C1220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0D27EA2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2E83A3E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172E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4EDF7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2B6C872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7FCB09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任务1：基础模型回归结果</w:t>
            </w:r>
          </w:p>
        </w:tc>
        <w:tc>
          <w:tcPr>
            <w:tcW w:w="1356" w:type="dxa"/>
            <w:vMerge w:val="continue"/>
            <w:noWrap w:val="0"/>
            <w:vAlign w:val="center"/>
          </w:tcPr>
          <w:p w14:paraId="4411B47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0911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58E702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AA73D0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BE40A6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任务2：工具变量回归结果</w:t>
            </w:r>
          </w:p>
        </w:tc>
        <w:tc>
          <w:tcPr>
            <w:tcW w:w="1356" w:type="dxa"/>
            <w:vMerge w:val="continue"/>
            <w:noWrap w:val="0"/>
            <w:vAlign w:val="center"/>
          </w:tcPr>
          <w:p w14:paraId="28C9079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F147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A5583C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DC45A3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DDF329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稳健性检验回归结果</w:t>
            </w:r>
          </w:p>
        </w:tc>
        <w:tc>
          <w:tcPr>
            <w:tcW w:w="1356" w:type="dxa"/>
            <w:vMerge w:val="continue"/>
            <w:noWrap w:val="0"/>
            <w:vAlign w:val="center"/>
          </w:tcPr>
          <w:p w14:paraId="2BD55D2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8065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8B704F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304156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E1995F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任务4：</w:t>
            </w:r>
            <w:r>
              <w:rPr>
                <w:rFonts w:hint="eastAsia" w:ascii="宋体" w:hAnsi="宋体" w:eastAsia="宋体" w:cs="宋体"/>
                <w:b w:val="0"/>
                <w:kern w:val="2"/>
                <w:sz w:val="21"/>
                <w:szCs w:val="21"/>
                <w:lang w:val="en-US" w:eastAsia="zh-CN" w:bidi="ar"/>
              </w:rPr>
              <w:t>基于上市公司稳健性检验</w:t>
            </w:r>
          </w:p>
        </w:tc>
        <w:tc>
          <w:tcPr>
            <w:tcW w:w="1356" w:type="dxa"/>
            <w:vMerge w:val="continue"/>
            <w:noWrap w:val="0"/>
            <w:vAlign w:val="center"/>
          </w:tcPr>
          <w:p w14:paraId="2485DA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F7E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31C48C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9824F1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F56AC3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任务5：</w:t>
            </w:r>
            <w:r>
              <w:rPr>
                <w:rFonts w:hint="eastAsia" w:ascii="宋体" w:hAnsi="宋体" w:eastAsia="宋体" w:cs="宋体"/>
                <w:b w:val="0"/>
                <w:kern w:val="2"/>
                <w:sz w:val="21"/>
                <w:szCs w:val="21"/>
                <w:lang w:val="en-US" w:eastAsia="zh-CN" w:bidi="ar"/>
              </w:rPr>
              <w:t>异质性检验结果</w:t>
            </w:r>
          </w:p>
        </w:tc>
        <w:tc>
          <w:tcPr>
            <w:tcW w:w="1356" w:type="dxa"/>
            <w:vMerge w:val="continue"/>
            <w:noWrap w:val="0"/>
            <w:vAlign w:val="center"/>
          </w:tcPr>
          <w:p w14:paraId="32D7988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BE3F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BA939B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9D0C70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D20354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任务6：溢出效应检验结果</w:t>
            </w:r>
          </w:p>
        </w:tc>
        <w:tc>
          <w:tcPr>
            <w:tcW w:w="1356" w:type="dxa"/>
            <w:vMerge w:val="continue"/>
            <w:noWrap w:val="0"/>
            <w:vAlign w:val="center"/>
          </w:tcPr>
          <w:p w14:paraId="2B9D97F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F73C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D3C472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1B3EFC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AD89D4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任务7：门槛数检验</w:t>
            </w:r>
          </w:p>
        </w:tc>
        <w:tc>
          <w:tcPr>
            <w:tcW w:w="1356" w:type="dxa"/>
            <w:vMerge w:val="continue"/>
            <w:noWrap w:val="0"/>
            <w:vAlign w:val="center"/>
          </w:tcPr>
          <w:p w14:paraId="344A2B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58E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815F9C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EB642B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61BEBE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任务8：门槛效应检验结果</w:t>
            </w:r>
          </w:p>
        </w:tc>
        <w:tc>
          <w:tcPr>
            <w:tcW w:w="1356" w:type="dxa"/>
            <w:vMerge w:val="continue"/>
            <w:noWrap w:val="0"/>
            <w:vAlign w:val="center"/>
          </w:tcPr>
          <w:p w14:paraId="3E851FD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BD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BE41C2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8CB031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BEA790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任务9：调节作用检验结果</w:t>
            </w:r>
          </w:p>
        </w:tc>
        <w:tc>
          <w:tcPr>
            <w:tcW w:w="1356" w:type="dxa"/>
            <w:vMerge w:val="continue"/>
            <w:noWrap w:val="0"/>
            <w:vAlign w:val="center"/>
          </w:tcPr>
          <w:p w14:paraId="6B72AC8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505BD65">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_Toc4098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β收敛模型与空间计量模型（创新集群的“中心—外围结构”：技术互补与经济增长收敛性研究）</w:t>
      </w:r>
      <w:r>
        <w:rPr>
          <w:rFonts w:hint="eastAsia" w:ascii="宋体" w:hAnsi="宋体" w:eastAsia="宋体" w:cs="宋体"/>
          <w:b/>
          <w:bCs/>
          <w:sz w:val="24"/>
          <w:lang w:val="en-US" w:eastAsia="zh-CN"/>
        </w:rPr>
        <w:fldChar w:fldCharType="end"/>
      </w:r>
    </w:p>
    <w:p w14:paraId="6A470EF0">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以顶刊论文为操作案例复现，高效掌握β收敛模型与空间计量模型建模技巧与论文写作技巧。</w:t>
      </w:r>
    </w:p>
    <w:p w14:paraId="627730EB">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 xml:space="preserve">8 </w:t>
      </w:r>
      <w:r>
        <w:rPr>
          <w:rFonts w:hint="eastAsia" w:ascii="宋体" w:hAnsi="宋体" w:eastAsia="宋体" w:cs="宋体"/>
          <w:sz w:val="21"/>
          <w:szCs w:val="21"/>
          <w:lang w:bidi="ar"/>
        </w:rPr>
        <w:t>β收敛模型与空间计量模型（创新集群的“中心—外围结构”：技术互补与经济增长收敛性研究）</w:t>
      </w:r>
    </w:p>
    <w:tbl>
      <w:tblPr>
        <w:tblStyle w:val="7"/>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752"/>
        <w:gridCol w:w="5058"/>
        <w:gridCol w:w="1356"/>
      </w:tblGrid>
      <w:tr w14:paraId="73D4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583" w:type="dxa"/>
            <w:shd w:val="clear" w:color="auto" w:fill="E6E6E6"/>
            <w:noWrap w:val="0"/>
            <w:vAlign w:val="center"/>
          </w:tcPr>
          <w:p w14:paraId="1CA118CB">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752" w:type="dxa"/>
            <w:shd w:val="clear" w:color="auto" w:fill="E6E6E6"/>
            <w:noWrap w:val="0"/>
            <w:vAlign w:val="center"/>
          </w:tcPr>
          <w:p w14:paraId="5D66368C">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762D07E4">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5487C5DD">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65A3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restart"/>
            <w:noWrap w:val="0"/>
            <w:vAlign w:val="center"/>
          </w:tcPr>
          <w:p w14:paraId="0F5483D8">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β收敛模型与空间计量模型（创新集群的“中心—外围结构”：技术互补与经济增长收敛性研究）</w:t>
            </w:r>
          </w:p>
        </w:tc>
        <w:tc>
          <w:tcPr>
            <w:tcW w:w="752" w:type="dxa"/>
            <w:vMerge w:val="restart"/>
            <w:noWrap w:val="0"/>
            <w:vAlign w:val="center"/>
          </w:tcPr>
          <w:p w14:paraId="00868B4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53075AA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7246DB6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0BAB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237E3C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64305FE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E2699A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57DCB89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FBA3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3B7FD9F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56A68E6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4AFA025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3E479FE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28BD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1E9952D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restart"/>
            <w:noWrap w:val="0"/>
            <w:vAlign w:val="center"/>
          </w:tcPr>
          <w:p w14:paraId="3EEE02A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74D69A8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任务1：互补性技术体系下的β收敛检验结果</w:t>
            </w:r>
          </w:p>
        </w:tc>
        <w:tc>
          <w:tcPr>
            <w:tcW w:w="1356" w:type="dxa"/>
            <w:vMerge w:val="continue"/>
            <w:noWrap w:val="0"/>
            <w:vAlign w:val="center"/>
          </w:tcPr>
          <w:p w14:paraId="20A2758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3B0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6746A17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4FC48E9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B9C546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任务2：20个创新集群的绝对β收敛检验结果</w:t>
            </w:r>
          </w:p>
        </w:tc>
        <w:tc>
          <w:tcPr>
            <w:tcW w:w="1356" w:type="dxa"/>
            <w:vMerge w:val="continue"/>
            <w:noWrap w:val="0"/>
            <w:vAlign w:val="center"/>
          </w:tcPr>
          <w:p w14:paraId="40A63EB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8D0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0D6BE94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4F6248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D7605E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20个创新集群的条件β收敛检验结果</w:t>
            </w:r>
          </w:p>
        </w:tc>
        <w:tc>
          <w:tcPr>
            <w:tcW w:w="1356" w:type="dxa"/>
            <w:vMerge w:val="continue"/>
            <w:noWrap w:val="0"/>
            <w:vAlign w:val="center"/>
          </w:tcPr>
          <w:p w14:paraId="506C3DA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329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7A42746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2486E6E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C1400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任务4：</w:t>
            </w:r>
            <w:r>
              <w:rPr>
                <w:rFonts w:hint="eastAsia" w:ascii="宋体" w:hAnsi="宋体" w:eastAsia="宋体" w:cs="宋体"/>
                <w:b w:val="0"/>
                <w:kern w:val="2"/>
                <w:sz w:val="21"/>
                <w:szCs w:val="21"/>
                <w:lang w:val="en-US" w:eastAsia="zh-CN" w:bidi="ar"/>
              </w:rPr>
              <w:t>竞争性技术体系下的β收敛性检验</w:t>
            </w:r>
          </w:p>
        </w:tc>
        <w:tc>
          <w:tcPr>
            <w:tcW w:w="1356" w:type="dxa"/>
            <w:vMerge w:val="continue"/>
            <w:noWrap w:val="0"/>
            <w:vAlign w:val="center"/>
          </w:tcPr>
          <w:p w14:paraId="66CB1D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AC3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22D35B5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5B277A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B0D4EB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任务5：</w:t>
            </w:r>
            <w:r>
              <w:rPr>
                <w:rFonts w:hint="eastAsia" w:ascii="宋体" w:hAnsi="宋体" w:eastAsia="宋体" w:cs="宋体"/>
                <w:b w:val="0"/>
                <w:kern w:val="2"/>
                <w:sz w:val="21"/>
                <w:szCs w:val="21"/>
                <w:lang w:val="en-US" w:eastAsia="zh-CN" w:bidi="ar"/>
              </w:rPr>
              <w:t>协同式创新影响创新集群中心—外围技术互补的检验结果</w:t>
            </w:r>
          </w:p>
        </w:tc>
        <w:tc>
          <w:tcPr>
            <w:tcW w:w="1356" w:type="dxa"/>
            <w:vMerge w:val="continue"/>
            <w:noWrap w:val="0"/>
            <w:vAlign w:val="center"/>
          </w:tcPr>
          <w:p w14:paraId="612B2FD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02786451">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_Toc1725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合成控制法（大小城市合并与行政边界地区经济增长：基于机器学习算法的合成控制评估）</w:t>
      </w:r>
      <w:r>
        <w:rPr>
          <w:rFonts w:hint="eastAsia" w:ascii="宋体" w:hAnsi="宋体" w:eastAsia="宋体" w:cs="宋体"/>
          <w:b/>
          <w:bCs/>
          <w:sz w:val="24"/>
          <w:lang w:val="en-US" w:eastAsia="zh-CN"/>
        </w:rPr>
        <w:fldChar w:fldCharType="end"/>
      </w:r>
      <w:r>
        <w:rPr>
          <w:rFonts w:hint="eastAsia" w:ascii="宋体" w:hAnsi="宋体" w:eastAsia="宋体" w:cs="宋体"/>
          <w:b/>
          <w:bCs/>
          <w:sz w:val="24"/>
          <w:lang w:val="en-US" w:eastAsia="zh-CN"/>
        </w:rPr>
        <w:t>:</w:t>
      </w:r>
    </w:p>
    <w:p w14:paraId="7E207FC7">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以顶刊论文为操作案例复现，高效掌握合成控制法建模技巧与论文写作技巧。</w:t>
      </w:r>
    </w:p>
    <w:p w14:paraId="2C7F435B">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9</w:t>
      </w:r>
      <w:r>
        <w:rPr>
          <w:rFonts w:hint="eastAsia" w:ascii="宋体" w:hAnsi="宋体" w:eastAsia="宋体" w:cs="宋体"/>
          <w:sz w:val="21"/>
          <w:szCs w:val="21"/>
          <w:lang w:bidi="ar"/>
        </w:rPr>
        <w:t xml:space="preserve"> </w:t>
      </w:r>
      <w:r>
        <w:rPr>
          <w:rFonts w:hint="eastAsia" w:ascii="宋体" w:hAnsi="宋体" w:eastAsia="宋体" w:cs="宋体"/>
          <w:sz w:val="21"/>
          <w:szCs w:val="21"/>
          <w:lang w:val="en-US" w:eastAsia="zh-CN" w:bidi="ar"/>
        </w:rPr>
        <w:t>合成控制法（大小城市合并与行政边界地区经济增长：基于机器学习算法的合成控制评估）</w:t>
      </w:r>
    </w:p>
    <w:tbl>
      <w:tblPr>
        <w:tblStyle w:val="7"/>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1AAF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55E3C7ED">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77E9BB5A">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7A22E54B">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0CC7292">
            <w:pPr>
              <w:pStyle w:val="6"/>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018B7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7CB144C8">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合成控制法（大小城市合并与行政边界地区经济增长：基于机器学习算法的合成控制评估）</w:t>
            </w:r>
          </w:p>
          <w:p w14:paraId="328C602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p w14:paraId="7A14532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p w14:paraId="451106F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02C5FF2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B3BCD4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6D1BF25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AI经济建模教学平台</w:t>
            </w:r>
          </w:p>
        </w:tc>
      </w:tr>
      <w:tr w14:paraId="7105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350B1C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BF654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C20984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020B053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A5A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2157D2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CBE9D2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975ACB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10F2D59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0789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03AD9E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73D7D6D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实验实施步骤</w:t>
            </w:r>
          </w:p>
        </w:tc>
        <w:tc>
          <w:tcPr>
            <w:tcW w:w="5058" w:type="dxa"/>
            <w:noWrap w:val="0"/>
            <w:vAlign w:val="center"/>
          </w:tcPr>
          <w:p w14:paraId="515C0C2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任务1：济南莱芜边界地区与其他边界地区的灯光亮度随年分布变化图</w:t>
            </w:r>
          </w:p>
        </w:tc>
        <w:tc>
          <w:tcPr>
            <w:tcW w:w="1356" w:type="dxa"/>
            <w:vMerge w:val="continue"/>
            <w:noWrap w:val="0"/>
            <w:vAlign w:val="center"/>
          </w:tcPr>
          <w:p w14:paraId="5D1FA9D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852A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C76D88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3FA15F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59653E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任务2：基准模型结果</w:t>
            </w:r>
          </w:p>
        </w:tc>
        <w:tc>
          <w:tcPr>
            <w:tcW w:w="1356" w:type="dxa"/>
            <w:vMerge w:val="continue"/>
            <w:noWrap w:val="0"/>
            <w:vAlign w:val="center"/>
          </w:tcPr>
          <w:p w14:paraId="576F09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297C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BA5C8A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67E83B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BC7883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更换边界地区度量方式：绝对距离法</w:t>
            </w:r>
          </w:p>
        </w:tc>
        <w:tc>
          <w:tcPr>
            <w:tcW w:w="1356" w:type="dxa"/>
            <w:vMerge w:val="continue"/>
            <w:noWrap w:val="0"/>
            <w:vAlign w:val="center"/>
          </w:tcPr>
          <w:p w14:paraId="4DD1DC6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C3B2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4DC3B2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F81850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21ABA04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任务4：</w:t>
            </w:r>
            <w:r>
              <w:rPr>
                <w:rFonts w:hint="eastAsia" w:ascii="宋体" w:hAnsi="宋体" w:eastAsia="宋体" w:cs="宋体"/>
                <w:b w:val="0"/>
                <w:kern w:val="2"/>
                <w:sz w:val="21"/>
                <w:szCs w:val="21"/>
                <w:lang w:val="en-US" w:eastAsia="zh-CN" w:bidi="ar"/>
              </w:rPr>
              <w:t>更换控制组为全国边界地区</w:t>
            </w:r>
          </w:p>
        </w:tc>
        <w:tc>
          <w:tcPr>
            <w:tcW w:w="1356" w:type="dxa"/>
            <w:vMerge w:val="continue"/>
            <w:noWrap w:val="0"/>
            <w:vAlign w:val="center"/>
          </w:tcPr>
          <w:p w14:paraId="72714CA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416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3C14A4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11FB75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297B815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任务5：</w:t>
            </w:r>
            <w:r>
              <w:rPr>
                <w:rFonts w:hint="eastAsia" w:ascii="宋体" w:hAnsi="宋体" w:eastAsia="宋体" w:cs="宋体"/>
                <w:b w:val="0"/>
                <w:kern w:val="2"/>
                <w:sz w:val="21"/>
                <w:szCs w:val="21"/>
                <w:lang w:val="en-US" w:eastAsia="zh-CN" w:bidi="ar"/>
              </w:rPr>
              <w:t>Lasso算法下的政策效应</w:t>
            </w:r>
          </w:p>
        </w:tc>
        <w:tc>
          <w:tcPr>
            <w:tcW w:w="1356" w:type="dxa"/>
            <w:vMerge w:val="continue"/>
            <w:noWrap w:val="0"/>
            <w:vAlign w:val="center"/>
          </w:tcPr>
          <w:p w14:paraId="787356A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A9C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2F36A8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534ECE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BF8648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任务6：安慰剂检验</w:t>
            </w:r>
          </w:p>
        </w:tc>
        <w:tc>
          <w:tcPr>
            <w:tcW w:w="1356" w:type="dxa"/>
            <w:vMerge w:val="continue"/>
            <w:noWrap w:val="0"/>
            <w:vAlign w:val="center"/>
          </w:tcPr>
          <w:p w14:paraId="7E8EEDF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A5B3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951D6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D66BA7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7FD92E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任务7：济南莱芜边界两侧灯光分别合成</w:t>
            </w:r>
          </w:p>
        </w:tc>
        <w:tc>
          <w:tcPr>
            <w:tcW w:w="1356" w:type="dxa"/>
            <w:vMerge w:val="continue"/>
            <w:noWrap w:val="0"/>
            <w:vAlign w:val="center"/>
          </w:tcPr>
          <w:p w14:paraId="04E3F68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5C3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C6B82E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228C88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4B7AD4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任务8：济南和莱芜中心城区灯光分别合成</w:t>
            </w:r>
          </w:p>
        </w:tc>
        <w:tc>
          <w:tcPr>
            <w:tcW w:w="1356" w:type="dxa"/>
            <w:vMerge w:val="continue"/>
            <w:noWrap w:val="0"/>
            <w:vAlign w:val="center"/>
          </w:tcPr>
          <w:p w14:paraId="5A5176F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B61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0D532D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6CCB3B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A171D8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任务9：样本外测试：2018年为测试集</w:t>
            </w:r>
          </w:p>
        </w:tc>
        <w:tc>
          <w:tcPr>
            <w:tcW w:w="1356" w:type="dxa"/>
            <w:vMerge w:val="continue"/>
            <w:noWrap w:val="0"/>
            <w:vAlign w:val="center"/>
          </w:tcPr>
          <w:p w14:paraId="4B271AB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C7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03C97F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6DFF2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51813D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任务10：样本外测试：更换验证集</w:t>
            </w:r>
          </w:p>
        </w:tc>
        <w:tc>
          <w:tcPr>
            <w:tcW w:w="1356" w:type="dxa"/>
            <w:vMerge w:val="continue"/>
            <w:noWrap w:val="0"/>
            <w:vAlign w:val="center"/>
          </w:tcPr>
          <w:p w14:paraId="2007E43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71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7BD0A8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6F7046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4ED652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任务11：长春和公主岭边界地区灯光分别合成</w:t>
            </w:r>
          </w:p>
        </w:tc>
        <w:tc>
          <w:tcPr>
            <w:tcW w:w="1356" w:type="dxa"/>
            <w:vMerge w:val="continue"/>
            <w:noWrap w:val="0"/>
            <w:vAlign w:val="center"/>
          </w:tcPr>
          <w:p w14:paraId="32F5B7C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DA64F0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rPr>
      </w:pPr>
      <w:bookmarkStart w:id="1" w:name="_Hlk117690077"/>
      <w:r>
        <w:rPr>
          <w:rFonts w:hint="eastAsia" w:ascii="宋体" w:hAnsi="宋体" w:eastAsia="宋体" w:cs="宋体"/>
          <w:b/>
          <w:bCs/>
          <w:sz w:val="24"/>
        </w:rPr>
        <w:t>二、评分指标</w:t>
      </w:r>
    </w:p>
    <w:p w14:paraId="244968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rPr>
        <w:t>.以上</w:t>
      </w:r>
      <w:r>
        <w:rPr>
          <w:rFonts w:hint="eastAsia" w:ascii="宋体" w:hAnsi="宋体" w:eastAsia="宋体" w:cs="宋体"/>
          <w:sz w:val="24"/>
          <w:szCs w:val="24"/>
        </w:rPr>
        <w:t>★</w:t>
      </w:r>
      <w:r>
        <w:rPr>
          <w:rFonts w:hint="eastAsia" w:ascii="宋体" w:hAnsi="宋体" w:eastAsia="宋体" w:cs="宋体"/>
          <w:sz w:val="24"/>
          <w:szCs w:val="24"/>
          <w:lang w:val="en-US" w:eastAsia="zh-CN"/>
        </w:rPr>
        <w:t>为核心功能，</w:t>
      </w:r>
      <w:r>
        <w:rPr>
          <w:rFonts w:hint="eastAsia" w:ascii="宋体" w:hAnsi="宋体" w:eastAsia="宋体" w:cs="宋体"/>
          <w:sz w:val="24"/>
        </w:rPr>
        <w:t>每个扣技术总分的1</w:t>
      </w:r>
      <w:r>
        <w:rPr>
          <w:rFonts w:hint="eastAsia" w:ascii="宋体" w:hAnsi="宋体" w:eastAsia="宋体" w:cs="宋体"/>
          <w:sz w:val="24"/>
        </w:rPr>
        <w:t>/</w:t>
      </w:r>
      <w:r>
        <w:rPr>
          <w:rFonts w:hint="eastAsia" w:ascii="宋体" w:hAnsi="宋体" w:eastAsia="宋体" w:cs="宋体"/>
          <w:sz w:val="24"/>
          <w:lang w:val="en-US" w:eastAsia="zh-CN"/>
        </w:rPr>
        <w:t>17</w:t>
      </w:r>
      <w:r>
        <w:rPr>
          <w:rFonts w:hint="eastAsia" w:ascii="宋体" w:hAnsi="宋体" w:eastAsia="宋体" w:cs="宋体"/>
          <w:sz w:val="24"/>
        </w:rPr>
        <w:t>，直到全部技术总分扣完为止。</w:t>
      </w:r>
    </w:p>
    <w:p w14:paraId="080837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rPr>
        <w:t>现场或远程展示以上</w:t>
      </w:r>
      <w:r>
        <w:rPr>
          <w:rFonts w:hint="eastAsia" w:ascii="宋体" w:hAnsi="宋体" w:eastAsia="宋体" w:cs="宋体"/>
          <w:sz w:val="24"/>
          <w:lang w:val="en-US" w:eastAsia="zh-CN"/>
        </w:rPr>
        <w:t>9</w:t>
      </w:r>
      <w:r>
        <w:rPr>
          <w:rFonts w:hint="eastAsia" w:ascii="宋体" w:hAnsi="宋体" w:eastAsia="宋体" w:cs="宋体"/>
          <w:sz w:val="24"/>
        </w:rPr>
        <w:t>个</w:t>
      </w:r>
      <w:r>
        <w:rPr>
          <w:rFonts w:hint="eastAsia" w:ascii="宋体" w:hAnsi="宋体" w:eastAsia="宋体" w:cs="宋体"/>
          <w:sz w:val="24"/>
          <w:lang w:val="en-US" w:eastAsia="zh-CN"/>
        </w:rPr>
        <w:t>案例</w:t>
      </w:r>
      <w:r>
        <w:rPr>
          <w:rFonts w:hint="eastAsia" w:ascii="宋体" w:hAnsi="宋体" w:eastAsia="宋体" w:cs="宋体"/>
          <w:sz w:val="24"/>
        </w:rPr>
        <w:t>实验的源代码</w:t>
      </w:r>
      <w:r>
        <w:rPr>
          <w:rFonts w:hint="eastAsia" w:ascii="宋体" w:hAnsi="宋体" w:eastAsia="宋体" w:cs="宋体"/>
          <w:sz w:val="24"/>
          <w:lang w:val="en-US" w:eastAsia="zh-CN"/>
        </w:rPr>
        <w:t>可视化数据</w:t>
      </w:r>
      <w:r>
        <w:rPr>
          <w:rFonts w:hint="eastAsia" w:ascii="宋体" w:hAnsi="宋体" w:eastAsia="宋体" w:cs="宋体"/>
          <w:sz w:val="24"/>
        </w:rPr>
        <w:t>，并讲解源代码流程逻辑，如不能展示源代码，或讲解源代码流程逻辑，每个扣技术总分的1</w:t>
      </w:r>
      <w:r>
        <w:rPr>
          <w:rFonts w:hint="eastAsia" w:ascii="宋体" w:hAnsi="宋体" w:eastAsia="宋体" w:cs="宋体"/>
          <w:sz w:val="24"/>
        </w:rPr>
        <w:t>/</w:t>
      </w:r>
      <w:r>
        <w:rPr>
          <w:rFonts w:hint="eastAsia" w:ascii="宋体" w:hAnsi="宋体" w:eastAsia="宋体" w:cs="宋体"/>
          <w:sz w:val="24"/>
          <w:lang w:val="en-US" w:eastAsia="zh-CN"/>
        </w:rPr>
        <w:t>9</w:t>
      </w:r>
      <w:r>
        <w:rPr>
          <w:rFonts w:hint="eastAsia" w:ascii="宋体" w:hAnsi="宋体" w:eastAsia="宋体" w:cs="宋体"/>
          <w:sz w:val="24"/>
        </w:rPr>
        <w:t>，直到全部技术总分扣完为止。</w:t>
      </w:r>
      <w:bookmarkStart w:id="3" w:name="_GoBack"/>
      <w:bookmarkEnd w:id="3"/>
    </w:p>
    <w:p w14:paraId="6F61FD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rPr>
        <w:t>.</w:t>
      </w:r>
      <w:r>
        <w:rPr>
          <w:rFonts w:hint="eastAsia" w:ascii="宋体" w:hAnsi="宋体" w:eastAsia="宋体" w:cs="宋体"/>
          <w:sz w:val="24"/>
        </w:rPr>
        <w:t>具有完全自主著作权，须提供加盖制造商鲜章的著作权复印件，如满足，得5分。</w:t>
      </w:r>
    </w:p>
    <w:p w14:paraId="5C088E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rPr>
        <w:t>制造厂商（拥有“经济大数据自动化机器人”软件著作权视为制造厂商）直接投标，得2</w:t>
      </w:r>
      <w:r>
        <w:rPr>
          <w:rFonts w:hint="eastAsia" w:ascii="宋体" w:hAnsi="宋体" w:eastAsia="宋体" w:cs="宋体"/>
          <w:sz w:val="24"/>
        </w:rPr>
        <w:t>0</w:t>
      </w:r>
      <w:r>
        <w:rPr>
          <w:rFonts w:hint="eastAsia" w:ascii="宋体" w:hAnsi="宋体" w:eastAsia="宋体" w:cs="宋体"/>
          <w:sz w:val="24"/>
        </w:rPr>
        <w:t>分。如非制造厂商投标，需提供制造厂商授权函和售后服务承诺函原件，得5分。否则不得分。</w:t>
      </w:r>
    </w:p>
    <w:p w14:paraId="37C265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5</w:t>
      </w:r>
      <w:r>
        <w:rPr>
          <w:rFonts w:hint="eastAsia" w:ascii="宋体" w:hAnsi="宋体" w:eastAsia="宋体" w:cs="宋体"/>
          <w:sz w:val="24"/>
        </w:rPr>
        <w:t>.软件中配有上课使用的教学PPT。需现场或远程演示。如满足，得5分。</w:t>
      </w:r>
    </w:p>
    <w:p w14:paraId="564F98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6.</w:t>
      </w:r>
      <w:r>
        <w:rPr>
          <w:rFonts w:hint="eastAsia" w:ascii="宋体" w:hAnsi="宋体" w:eastAsia="宋体" w:cs="宋体"/>
          <w:sz w:val="24"/>
        </w:rPr>
        <w:t>投标人具有强大的师资力量和丰富的培训经验，股东具有高校教师背景，并能提供高校教师资格证复印件。如满足，得5分。</w:t>
      </w:r>
    </w:p>
    <w:p w14:paraId="31F255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w:t>
      </w:r>
      <w:r>
        <w:rPr>
          <w:rFonts w:hint="eastAsia" w:ascii="宋体" w:hAnsi="宋体" w:eastAsia="宋体" w:cs="宋体"/>
          <w:sz w:val="24"/>
        </w:rPr>
        <w:t>企业技术保障：按投标人提交的售后服务方案，包含但不限于售后服务措施（保修期、维护保养及应急维修安排方案，及拟投入本项目的软件工程师等技术服务人员在本单位服务期间缴纳的至少6个月的社保凭证）。如满足，得5分。</w:t>
      </w:r>
    </w:p>
    <w:p w14:paraId="150456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8.</w:t>
      </w:r>
      <w:r>
        <w:rPr>
          <w:rFonts w:hint="eastAsia" w:ascii="宋体" w:hAnsi="宋体" w:eastAsia="宋体" w:cs="宋体"/>
          <w:sz w:val="24"/>
        </w:rPr>
        <w:t xml:space="preserve"> 投标人实施方案（包含但不限于质量保证、交货期、安装调试、验收等内容）的科学性、合理性等情况。满分5分。</w:t>
      </w:r>
      <w:bookmarkEnd w:id="1"/>
    </w:p>
    <w:p w14:paraId="0C6B42A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p>
    <w:p w14:paraId="240776F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8FBF5">
    <w:pPr>
      <w:pStyle w:val="5"/>
      <w:rPr>
        <w:rFonts w:hint="eastAsia"/>
      </w:rPr>
    </w:pPr>
    <w:bookmarkStart w:id="2" w:name="_Hlk178243777"/>
    <w:r>
      <w:rPr>
        <w:rFonts w:hint="eastAsia" w:eastAsia="微软雅黑"/>
      </w:rPr>
      <w:drawing>
        <wp:inline distT="0" distB="0" distL="0" distR="0">
          <wp:extent cx="1325880" cy="237490"/>
          <wp:effectExtent l="0" t="0" r="7620" b="10160"/>
          <wp:docPr id="720209445"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209445"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2"/>
    <w:r>
      <w:t> </w:t>
    </w:r>
    <w:r>
      <w:rPr>
        <w:rFonts w:hint="eastAsia"/>
      </w:rPr>
      <w:t xml:space="preserve">    </w:t>
    </w:r>
    <w:r>
      <w:t> www.jiecl.com  微信公众号：云班课Online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5A81F"/>
    <w:multiLevelType w:val="singleLevel"/>
    <w:tmpl w:val="0865A81F"/>
    <w:lvl w:ilvl="0" w:tentative="0">
      <w:start w:val="1"/>
      <w:numFmt w:val="decimal"/>
      <w:suff w:val="nothing"/>
      <w:lvlText w:val="%1．"/>
      <w:lvlJc w:val="left"/>
      <w:pPr>
        <w:ind w:left="0" w:firstLine="400"/>
      </w:pPr>
      <w:rPr>
        <w:rFonts w:hint="default"/>
      </w:rPr>
    </w:lvl>
  </w:abstractNum>
  <w:abstractNum w:abstractNumId="1">
    <w:nsid w:val="16C831B0"/>
    <w:multiLevelType w:val="singleLevel"/>
    <w:tmpl w:val="16C831B0"/>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076BFE"/>
    <w:rsid w:val="01B50CDA"/>
    <w:rsid w:val="7C07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semiHidden/>
    <w:unhideWhenUsed/>
    <w:qFormat/>
    <w:uiPriority w:val="99"/>
    <w:pPr>
      <w:spacing w:after="120"/>
      <w:ind w:left="420" w:leftChars="200"/>
    </w:pPr>
  </w:style>
  <w:style w:type="paragraph" w:styleId="4">
    <w:name w:val="Plain Text"/>
    <w:basedOn w:val="1"/>
    <w:qFormat/>
    <w:uiPriority w:val="0"/>
    <w:rPr>
      <w:rFonts w:hint="eastAsia" w:ascii="宋体" w:hAnsi="Courier New" w:eastAsia="宋体" w:cs="Times New Roman"/>
      <w:szCs w:val="22"/>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line="360" w:lineRule="auto"/>
      <w:ind w:firstLine="880" w:firstLineChars="200"/>
      <w:jc w:val="left"/>
    </w:pPr>
    <w:rPr>
      <w:rFonts w:ascii="Calibri" w:hAnsi="Calibri"/>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4468</Words>
  <Characters>4663</Characters>
  <Lines>0</Lines>
  <Paragraphs>0</Paragraphs>
  <TotalTime>4</TotalTime>
  <ScaleCrop>false</ScaleCrop>
  <LinksUpToDate>false</LinksUpToDate>
  <CharactersWithSpaces>4673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2025-02-13T08:51:00Z</dcterms:created>
  <dc:creator>肥嘟好肥</dc:creator>
  <cp:lastModifiedBy>肥嘟好肥</cp:lastModifiedBy>
  <dcterms:modified xsi:type="dcterms:W3CDTF">2025-02-15T05:01:06Z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0B4B430A95E945BCA1AB5E120532A80B_11</vt:lpwstr>
  </property>
  <property fmtid="{D5CDD505-2E9C-101B-9397-08002B2CF9AE}" pid="4" name="KSOTemplateDocerSaveRecord">
    <vt:lpwstr>eyJoZGlkIjoiZDYxMGJhNDRmYWI3YTAxNjQyMTZhOWFkOTIxMDI4NTMiLCJ1c2VySWQiOiIzNzkzNTEwMTcifQ==</vt:lpwstr>
  </property>
</Properties>
</file>