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19E7B1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5ECB009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  <w:r>
        <w:rPr>
          <w:rFonts w:hint="eastAsia" w:ascii="宋体" w:hAnsi="宋体" w:eastAsia="宋体" w:cs="宋体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-394335</wp:posOffset>
                </wp:positionH>
                <wp:positionV relativeFrom="page">
                  <wp:posOffset>1680845</wp:posOffset>
                </wp:positionV>
                <wp:extent cx="6280785" cy="2401570"/>
                <wp:effectExtent l="0" t="0" r="0" b="0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0785" cy="24015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A37419B"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0000"/>
                                <w:sz w:val="80"/>
                                <w:szCs w:val="80"/>
                              </w:rPr>
                              <w:t>AI经济建模教学平台</w:t>
                            </w:r>
                          </w:p>
                        </w:txbxContent>
                      </wps:txbx>
                      <wps:bodyPr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1.05pt;margin-top:132.35pt;height:189.1pt;width:494.55pt;mso-position-vertical-relative:page;z-index:251660288;v-text-anchor:middle;mso-width-relative:page;mso-height-relative:page;" filled="f" stroked="f" coordsize="21600,21600" o:gfxdata="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BPeWJF2gAAAAsBAAAPAAAAAAAAAAEAIAAAACIAAABkcnMvZG93bnJldi54bWxQ&#10;SwECFAAUAAAACACHTuJAY2KpcbwBAABqAwAADgAAAAAAAAABACAAAAApAQAAZHJzL2Uyb0RvYy54&#10;bWxQSwUGAAAAAAYABgBZAQAAV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4A37419B">
                      <w:pPr>
                        <w:ind w:left="0" w:leftChars="0" w:firstLine="0" w:firstLineChars="0"/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0000"/>
                          <w:sz w:val="80"/>
                          <w:szCs w:val="80"/>
                        </w:rPr>
                        <w:t>AI经济建模教学平台</w:t>
                      </w:r>
                    </w:p>
                  </w:txbxContent>
                </v:textbox>
              </v:shape>
            </w:pict>
          </mc:Fallback>
        </mc:AlternateContent>
      </w:r>
    </w:p>
    <w:p w14:paraId="39491AA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6624EB5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72"/>
          <w:szCs w:val="72"/>
        </w:rPr>
      </w:pPr>
    </w:p>
    <w:p w14:paraId="191DD33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textAlignment w:val="auto"/>
        <w:rPr>
          <w:rFonts w:hint="eastAsia" w:ascii="宋体" w:hAnsi="宋体" w:eastAsia="宋体" w:cs="宋体"/>
          <w:b/>
          <w:bCs/>
          <w:sz w:val="48"/>
          <w:szCs w:val="48"/>
        </w:rPr>
      </w:pPr>
    </w:p>
    <w:p w14:paraId="17D0124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right"/>
        <w:textAlignment w:val="auto"/>
        <w:rPr>
          <w:rFonts w:hint="eastAsia" w:ascii="宋体" w:hAnsi="宋体" w:eastAsia="宋体" w:cs="宋体"/>
          <w:b/>
          <w:bCs/>
          <w:sz w:val="60"/>
          <w:szCs w:val="60"/>
        </w:rPr>
      </w:pPr>
      <w:r>
        <w:rPr>
          <w:rFonts w:hint="eastAsia" w:ascii="宋体" w:hAnsi="宋体" w:eastAsia="宋体" w:cs="宋体"/>
          <w:b/>
          <w:bCs/>
          <w:color w:val="7E7E7E"/>
          <w:sz w:val="60"/>
          <w:szCs w:val="60"/>
        </w:rPr>
        <w:t>——产品介绍</w:t>
      </w:r>
    </w:p>
    <w:p w14:paraId="0A25B6F8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3A693A83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</w:p>
    <w:p w14:paraId="7802AA3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textAlignment w:val="auto"/>
        <w:rPr>
          <w:rFonts w:hint="eastAsia" w:ascii="宋体" w:hAnsi="宋体" w:eastAsia="宋体" w:cs="宋体"/>
        </w:rPr>
      </w:pPr>
    </w:p>
    <w:p w14:paraId="34B87ECC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r>
        <w:rPr>
          <w:rFonts w:hint="eastAsia" w:ascii="宋体" w:hAnsi="宋体" w:eastAsia="宋体" w:cs="宋体"/>
          <w:b/>
          <w:bCs/>
          <w:szCs w:val="28"/>
        </w:rPr>
        <w:drawing>
          <wp:inline distT="0" distB="0" distL="114300" distR="114300">
            <wp:extent cx="3483610" cy="1830705"/>
            <wp:effectExtent l="0" t="0" r="2540" b="17145"/>
            <wp:docPr id="3" name="图片 1" descr="20230509134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2023050913402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483610" cy="183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EB4F5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r>
        <w:rPr>
          <w:rFonts w:hint="eastAsia" w:ascii="宋体" w:hAnsi="宋体" w:eastAsia="宋体" w:cs="宋体"/>
          <w:b/>
          <w:bCs/>
          <w:szCs w:val="28"/>
        </w:rPr>
        <w:t xml:space="preserve">         </w:t>
      </w:r>
    </w:p>
    <w:p w14:paraId="0251BF5F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Cs w:val="28"/>
        </w:rPr>
      </w:pPr>
      <w:bookmarkStart w:id="0" w:name="_Hlk178243754"/>
      <w:r>
        <w:rPr>
          <w:rFonts w:hint="eastAsia" w:ascii="宋体" w:hAnsi="宋体" w:eastAsia="宋体" w:cs="宋体"/>
        </w:rPr>
        <w:drawing>
          <wp:inline distT="0" distB="0" distL="114300" distR="114300">
            <wp:extent cx="2260600" cy="400685"/>
            <wp:effectExtent l="0" t="0" r="6350" b="18415"/>
            <wp:docPr id="1" name="图片 2" descr="logo黑色文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logo黑色文字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40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484E510F">
      <w:pPr>
        <w:pStyle w:val="12"/>
        <w:pageBreakBefore w:val="0"/>
        <w:widowControl w:val="0"/>
        <w:tabs>
          <w:tab w:val="right" w:leader="dot" w:pos="8312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both"/>
        <w:textAlignment w:val="auto"/>
        <w:rPr>
          <w:rFonts w:hint="eastAsia"/>
        </w:rPr>
      </w:pPr>
    </w:p>
    <w:p w14:paraId="70BED1D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right="0" w:rightChars="0" w:firstLine="0" w:firstLineChars="0"/>
        <w:jc w:val="center"/>
        <w:textAlignment w:val="auto"/>
        <w:rPr>
          <w:b/>
          <w:bCs/>
          <w:sz w:val="36"/>
          <w:szCs w:val="32"/>
        </w:rPr>
      </w:pPr>
      <w:r>
        <w:rPr>
          <w:rFonts w:ascii="宋体" w:hAnsi="宋体" w:eastAsia="宋体"/>
          <w:b/>
          <w:bCs/>
          <w:sz w:val="24"/>
          <w:szCs w:val="32"/>
        </w:rPr>
        <w:t>目</w:t>
      </w:r>
      <w:r>
        <w:rPr>
          <w:rFonts w:hint="eastAsia" w:ascii="宋体" w:hAnsi="宋体" w:eastAsia="宋体"/>
          <w:b/>
          <w:bCs/>
          <w:sz w:val="24"/>
          <w:szCs w:val="32"/>
          <w:lang w:val="en-US" w:eastAsia="zh-CN"/>
        </w:rPr>
        <w:t xml:space="preserve">  </w:t>
      </w:r>
      <w:r>
        <w:rPr>
          <w:rFonts w:ascii="宋体" w:hAnsi="宋体" w:eastAsia="宋体"/>
          <w:b/>
          <w:bCs/>
          <w:sz w:val="24"/>
          <w:szCs w:val="32"/>
        </w:rPr>
        <w:t>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164"/>
        <w15:color w:val="DBDBDB"/>
        <w:docPartObj>
          <w:docPartGallery w:val="Table of Contents"/>
          <w:docPartUnique/>
        </w:docPartObj>
      </w:sdtPr>
      <w:sdtEndPr>
        <w:rPr>
          <w:rFonts w:hint="eastAsia" w:ascii="Calibri" w:hAnsi="Calibri" w:eastAsia="宋体" w:cs="Times New Roman"/>
          <w:kern w:val="2"/>
          <w:sz w:val="28"/>
          <w:szCs w:val="24"/>
          <w:lang w:val="en-US" w:eastAsia="zh-CN" w:bidi="ar-SA"/>
        </w:rPr>
      </w:sdtEndPr>
      <w:sdtContent>
        <w:p w14:paraId="4B954ED4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TOC \o "1-3" \h \u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_Toc28008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一、 平台介绍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_Toc28008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2AC786D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_Toc13342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二、 课程定位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_Toc13342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2FF5F5E">
          <w:pPr>
            <w:pStyle w:val="12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_Toc7881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三、 实验内容与项目概述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_Toc7881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03EEA179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_Toc18447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 xml:space="preserve">（一） </w:t>
          </w:r>
          <w:r>
            <w:rPr>
              <w:rFonts w:hint="eastAsia" w:ascii="宋体" w:hAnsi="宋体" w:eastAsia="宋体" w:cs="宋体"/>
              <w:sz w:val="21"/>
              <w:szCs w:val="20"/>
              <w:lang w:val="en-US" w:eastAsia="zh-CN"/>
            </w:rPr>
            <w:t>AI经济建模教学平台简介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_Toc18447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2AA3F1E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_Toc24410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</w:rPr>
            <w:t xml:space="preserve">1． </w:t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顶刊论文结构拆解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_Toc24410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F994D6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_Toc13142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2． AI选题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_Toc13142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A826B74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_Toc12343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3． 研究主题论证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_Toc12343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36CA926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_Toc15305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4． 提出假说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_Toc15305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44DD0DAD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_Toc3170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5． 实证分析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_Toc3170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50D648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_Toc4827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6． 结果解读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_Toc4827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13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1CE9A6FF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_Toc24596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7． 研究背景、理论分析、假设论证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_Toc24596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3949F1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_Toc14892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8． 润色与AI审稿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_Toc14892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95B0A1A">
          <w:pPr>
            <w:pStyle w:val="13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_Toc31634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 xml:space="preserve">（二） </w:t>
          </w:r>
          <w:r>
            <w:rPr>
              <w:rFonts w:hint="eastAsia" w:ascii="宋体" w:hAnsi="宋体" w:eastAsia="宋体" w:cs="宋体"/>
              <w:sz w:val="21"/>
              <w:szCs w:val="20"/>
              <w:lang w:val="en-US" w:eastAsia="zh-CN"/>
            </w:rPr>
            <w:t>AI经济建模教学平台案例简介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_Toc31634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17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09A55D4A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_Toc18820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1． 双重差分模型（腾笼换鸟的房价效应：以老工业区搬迁改造为例）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_Toc18820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17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2C73A2A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_Toc26033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2． 渐进双重差分模型（制度创新、营商环境与城市创业活力——来自中国自由贸易试验区的证据）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_Toc26033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18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3CDABA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_Toc2513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3． 双向固定效应模型（数字化转型如何影响劳动技能溢价——基于A股上市公司数据的经验研究）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_Toc2513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19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1B26474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_Toc21356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4． 交叠双重差分模型（产能过剩与环境规制相机选择——基于正式与非正式环境规制视角）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_Toc21356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21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367C9BF2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_Toc13532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5． β收敛模型（共同富裕的测度与驱动机制研究）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_Toc13532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241AFA7C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_Toc30008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6． 强度双重差分模型（生产性政府债务与城市创新力——基于中国城市面板数据的经验研究）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_Toc30008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22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7EE3409E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_Toc26573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7． 面板门槛效应回归模型（“强省会”战略的创新效应研究）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_Toc26573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24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5E762103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_Toc4098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8． β收敛模型与空间计量模型（创新集群的“中心—外围结构”：技术互补与经济增长收敛性研究）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_Toc4098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25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335B3A21">
          <w:pPr>
            <w:pStyle w:val="8"/>
            <w:pageBreakBefore w:val="0"/>
            <w:widowControl w:val="0"/>
            <w:tabs>
              <w:tab w:val="right" w:leader="dot" w:pos="8306"/>
            </w:tabs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line="360" w:lineRule="auto"/>
            <w:ind w:leftChars="0" w:firstLine="0" w:firstLineChars="0"/>
            <w:textAlignment w:val="auto"/>
            <w:rPr>
              <w:rFonts w:hint="eastAsia" w:ascii="宋体" w:hAnsi="宋体" w:eastAsia="宋体" w:cs="宋体"/>
              <w:sz w:val="21"/>
              <w:szCs w:val="20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HYPERLINK \l _Toc1725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16"/>
              <w:lang w:val="en-US" w:eastAsia="zh-CN"/>
            </w:rPr>
            <w:t>9． 合成控制法（大小城市合并与行政边界地区经济增长：基于机器学习算法的合成控制评估）</w:t>
          </w:r>
          <w:r>
            <w:rPr>
              <w:rFonts w:hint="eastAsia" w:ascii="宋体" w:hAnsi="宋体" w:eastAsia="宋体" w:cs="宋体"/>
              <w:sz w:val="21"/>
              <w:szCs w:val="20"/>
            </w:rPr>
            <w:tab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begin"/>
          </w:r>
          <w:r>
            <w:rPr>
              <w:rFonts w:hint="eastAsia" w:ascii="宋体" w:hAnsi="宋体" w:eastAsia="宋体" w:cs="宋体"/>
              <w:sz w:val="21"/>
              <w:szCs w:val="20"/>
            </w:rPr>
            <w:instrText xml:space="preserve"> PAGEREF _Toc1725 \h </w:instrTex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separate"/>
          </w:r>
          <w:r>
            <w:rPr>
              <w:rFonts w:hint="eastAsia" w:ascii="宋体" w:hAnsi="宋体" w:eastAsia="宋体" w:cs="宋体"/>
              <w:sz w:val="21"/>
              <w:szCs w:val="20"/>
            </w:rPr>
            <w:t>26</w:t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  <w:p w14:paraId="6FC67073">
          <w:pPr>
            <w:pStyle w:val="2"/>
            <w:pageBreakBefore w:val="0"/>
            <w:widowControl w:val="0"/>
            <w:kinsoku/>
            <w:wordWrap/>
            <w:overflowPunct/>
            <w:topLinePunct w:val="0"/>
            <w:autoSpaceDE/>
            <w:autoSpaceDN/>
            <w:bidi w:val="0"/>
            <w:adjustRightInd w:val="0"/>
            <w:snapToGrid w:val="0"/>
            <w:spacing w:after="0" w:line="360" w:lineRule="auto"/>
            <w:ind w:left="0" w:leftChars="0" w:firstLine="0" w:firstLineChars="0"/>
            <w:textAlignment w:val="auto"/>
            <w:rPr>
              <w:rFonts w:hint="eastAsia" w:ascii="Calibri" w:hAnsi="Calibri" w:eastAsia="宋体" w:cs="Times New Roman"/>
              <w:kern w:val="2"/>
              <w:sz w:val="28"/>
              <w:szCs w:val="24"/>
              <w:lang w:val="en-US" w:eastAsia="zh-CN" w:bidi="ar-SA"/>
            </w:rPr>
          </w:pPr>
          <w:r>
            <w:rPr>
              <w:rFonts w:hint="eastAsia" w:ascii="宋体" w:hAnsi="宋体" w:eastAsia="宋体" w:cs="宋体"/>
              <w:sz w:val="21"/>
              <w:szCs w:val="20"/>
            </w:rPr>
            <w:fldChar w:fldCharType="end"/>
          </w:r>
        </w:p>
      </w:sdtContent>
    </w:sdt>
    <w:p w14:paraId="0C2286EE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after="0" w:line="360" w:lineRule="auto"/>
        <w:ind w:left="0" w:leftChars="0" w:firstLine="0" w:firstLineChars="0"/>
        <w:textAlignment w:val="auto"/>
        <w:rPr>
          <w:rFonts w:hint="eastAsia" w:ascii="Calibri" w:hAnsi="Calibri" w:eastAsia="宋体" w:cs="Times New Roman"/>
          <w:kern w:val="2"/>
          <w:sz w:val="28"/>
          <w:szCs w:val="24"/>
          <w:lang w:val="en-US" w:eastAsia="zh-CN" w:bidi="ar-SA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800" w:bottom="1440" w:left="1800" w:header="851" w:footer="992" w:gutter="0"/>
          <w:pgNumType w:fmt="upperRoman" w:start="1"/>
          <w:cols w:space="720" w:num="1"/>
          <w:docGrid w:type="lines" w:linePitch="312" w:charSpace="0"/>
        </w:sectPr>
      </w:pPr>
    </w:p>
    <w:p w14:paraId="08F6C7AB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1" w:name="_Toc4063"/>
      <w:bookmarkStart w:id="2" w:name="_Toc23989"/>
      <w:bookmarkStart w:id="3" w:name="_Toc28008"/>
      <w:r>
        <w:rPr>
          <w:rFonts w:hint="eastAsia" w:ascii="宋体" w:hAnsi="宋体" w:eastAsia="宋体" w:cs="宋体"/>
          <w:sz w:val="24"/>
        </w:rPr>
        <w:t>平台介绍</w:t>
      </w:r>
      <w:bookmarkEnd w:id="1"/>
      <w:bookmarkEnd w:id="2"/>
      <w:bookmarkEnd w:id="3"/>
    </w:p>
    <w:p w14:paraId="56EB1B1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AI经济建模教学平台</w:t>
      </w:r>
      <w:r>
        <w:rPr>
          <w:rFonts w:hint="eastAsia" w:ascii="宋体" w:hAnsi="宋体" w:eastAsia="宋体" w:cs="宋体"/>
          <w:sz w:val="21"/>
          <w:szCs w:val="21"/>
        </w:rPr>
        <w:t>基于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AI、Python、stata技术，根据通过顶刊论文案例复现操作，融合AI和机器学习</w:t>
      </w:r>
      <w:r>
        <w:rPr>
          <w:rFonts w:hint="eastAsia" w:ascii="宋体" w:hAnsi="宋体" w:eastAsia="宋体" w:cs="宋体"/>
          <w:sz w:val="21"/>
          <w:szCs w:val="21"/>
        </w:rPr>
        <w:t>展示数据</w:t>
      </w:r>
      <w:r>
        <w:rPr>
          <w:rFonts w:hint="eastAsia" w:ascii="宋体" w:hAnsi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AI经济建模实验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可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实现读取数据、数据预处理、各类检验、数据可视化、特征工程、文本分析、调试工具、stata计量建模分析等科研分析任务，</w:t>
      </w:r>
      <w:r>
        <w:rPr>
          <w:rFonts w:hint="eastAsia" w:ascii="宋体" w:hAnsi="宋体" w:eastAsia="宋体" w:cs="宋体"/>
          <w:sz w:val="21"/>
          <w:szCs w:val="21"/>
        </w:rPr>
        <w:t>内容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包括</w:t>
      </w:r>
      <w:r>
        <w:rPr>
          <w:rFonts w:hint="eastAsia" w:ascii="宋体" w:hAnsi="宋体" w:eastAsia="宋体" w:cs="宋体"/>
          <w:sz w:val="21"/>
          <w:szCs w:val="21"/>
        </w:rPr>
        <w:t>顶刊论文结构拆解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cs="宋体"/>
          <w:sz w:val="21"/>
          <w:szCs w:val="21"/>
          <w:lang w:eastAsia="zh-CN"/>
        </w:rPr>
        <w:t>AI选题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研究主题论证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提出假说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实证分析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结果解读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eastAsia="宋体" w:cs="宋体"/>
          <w:sz w:val="21"/>
          <w:szCs w:val="21"/>
        </w:rPr>
        <w:t>研究背景理论分析假设论证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、</w:t>
      </w:r>
      <w:r>
        <w:rPr>
          <w:rFonts w:hint="eastAsia" w:ascii="宋体" w:hAnsi="宋体" w:cs="宋体"/>
          <w:sz w:val="21"/>
          <w:szCs w:val="21"/>
          <w:lang w:eastAsia="zh-CN"/>
        </w:rPr>
        <w:t>润色与AI审稿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等实验</w:t>
      </w:r>
      <w:r>
        <w:rPr>
          <w:rFonts w:hint="eastAsia" w:ascii="宋体" w:hAnsi="宋体" w:eastAsia="宋体" w:cs="宋体"/>
          <w:sz w:val="21"/>
          <w:szCs w:val="21"/>
        </w:rPr>
        <w:t>。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实验案例涵盖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9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大案例，包括：</w:t>
      </w:r>
    </w:p>
    <w:p w14:paraId="7DECA511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_Toc18820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双重差分模型（腾笼换鸟的房价效应：以老工业区搬迁改造为例）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72FAB6D7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_Toc26033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渐进双重差分模型（制度创新、营商环境与城市创业活力——来自中国自由贸易试验区的证据）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5695A45C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_Toc2513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双向固定效应模型（数字化转型如何影响劳动技能溢价——基于A股上市公司数据的经验研究）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12B8C7A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_Toc21356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交叠双重差分模型（产能过剩与环境规制相机选择——基于正式与非正式环境规制视角）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3694CE3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_Toc13532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β收敛模型（共同富裕的测度与驱动机制研究）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4E649BB0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_Toc30008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强度双重差分模型（生产性政府债务与城市创新力—</w:t>
      </w:r>
      <w:bookmarkStart w:id="42" w:name="_GoBack"/>
      <w:bookmarkEnd w:id="42"/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基于中国城市面板数据的经验研究）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2D3C9EA0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_Toc26573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面板门槛效应回归模型（“强省会”战略的创新效应研究）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4505BD65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_Toc4098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β收敛模型与空间计量模型（创新集群的“中心—外围结构”：技术互补与经济增长收敛性研究）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02786451">
      <w:pPr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420" w:firstLineChars="200"/>
        <w:jc w:val="left"/>
        <w:textAlignment w:val="auto"/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begin"/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instrText xml:space="preserve"> HYPERLINK \l _Toc1725 </w:instrTex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separate"/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合成控制法（大小城市合并与行政边界地区经济增长：基于机器学习算法的合成控制评估）</w:t>
      </w:r>
      <w:r>
        <w:rPr>
          <w:rFonts w:hint="eastAsia" w:ascii="宋体" w:hAnsi="宋体" w:cs="宋体"/>
          <w:b w:val="0"/>
          <w:bCs w:val="0"/>
          <w:sz w:val="21"/>
          <w:szCs w:val="21"/>
          <w:lang w:eastAsia="zh-CN"/>
        </w:rPr>
        <w:fldChar w:fldCharType="end"/>
      </w:r>
    </w:p>
    <w:p w14:paraId="7F6BDF8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学生通过实验的学习和操作掌握经济大数据时代</w:t>
      </w:r>
      <w:r>
        <w:rPr>
          <w:rFonts w:hint="eastAsia" w:ascii="宋体" w:hAnsi="宋体" w:cs="宋体"/>
          <w:sz w:val="21"/>
          <w:szCs w:val="21"/>
          <w:lang w:val="en-US" w:eastAsia="zh-CN"/>
        </w:rPr>
        <w:t>AI</w:t>
      </w:r>
      <w:r>
        <w:rPr>
          <w:rFonts w:hint="eastAsia" w:ascii="宋体" w:hAnsi="宋体" w:eastAsia="宋体" w:cs="宋体"/>
          <w:sz w:val="21"/>
          <w:szCs w:val="21"/>
        </w:rPr>
        <w:t>的应用。此平台有助于提高学生自主设计</w:t>
      </w:r>
      <w:r>
        <w:rPr>
          <w:rFonts w:hint="eastAsia" w:ascii="宋体" w:hAnsi="宋体" w:cs="宋体"/>
          <w:sz w:val="21"/>
          <w:szCs w:val="21"/>
          <w:lang w:val="en-US" w:eastAsia="zh-CN"/>
        </w:rPr>
        <w:t>计量建模与论文写作能力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 w14:paraId="0D75D26E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4" w:name="_Toc14462"/>
      <w:bookmarkStart w:id="5" w:name="_Toc13342"/>
      <w:bookmarkStart w:id="6" w:name="_Toc13708"/>
      <w:r>
        <w:rPr>
          <w:rFonts w:hint="eastAsia" w:ascii="宋体" w:hAnsi="宋体" w:eastAsia="宋体" w:cs="宋体"/>
          <w:sz w:val="24"/>
        </w:rPr>
        <w:t>课程定位</w:t>
      </w:r>
      <w:bookmarkEnd w:id="4"/>
      <w:bookmarkEnd w:id="5"/>
      <w:bookmarkEnd w:id="6"/>
    </w:p>
    <w:p w14:paraId="4B34CF35">
      <w:pPr>
        <w:pStyle w:val="2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="0" w:afterAutospacing="0" w:line="360" w:lineRule="auto"/>
        <w:ind w:left="0" w:leftChars="0" w:right="0" w:firstLine="0" w:firstLineChars="0"/>
        <w:jc w:val="center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4"/>
          <w:szCs w:val="24"/>
        </w:rPr>
        <w:fldChar w:fldCharType="begin"/>
      </w:r>
      <w:r>
        <w:rPr>
          <w:rFonts w:hint="eastAsia" w:ascii="宋体" w:hAnsi="宋体" w:eastAsia="宋体" w:cs="宋体"/>
          <w:sz w:val="24"/>
          <w:szCs w:val="24"/>
        </w:rPr>
        <w:instrText xml:space="preserve">INCLUDEPICTURE \d "D:\\QQ\\Tencent Files\\554354600\\nt_qq\\nt_data\\Pic\\2024-11\\Ori\\5f46a44989d185ae04fd3738d6c0f9d9.png" \* MERGEFORMATINET </w:instrText>
      </w:r>
      <w:r>
        <w:rPr>
          <w:rFonts w:hint="eastAsia" w:ascii="宋体" w:hAnsi="宋体" w:eastAsia="宋体" w:cs="宋体"/>
          <w:sz w:val="24"/>
          <w:szCs w:val="24"/>
        </w:rPr>
        <w:fldChar w:fldCharType="separate"/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342255" cy="3063875"/>
            <wp:effectExtent l="0" t="0" r="10795" b="3175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rcRect l="3169" t="1491" r="3281"/>
                    <a:stretch>
                      <a:fillRect/>
                    </a:stretch>
                  </pic:blipFill>
                  <pic:spPr>
                    <a:xfrm>
                      <a:off x="0" y="0"/>
                      <a:ext cx="5342255" cy="306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fldChar w:fldCharType="end"/>
      </w:r>
    </w:p>
    <w:p w14:paraId="098EB58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数据分析实训已成为数字经济专业实训体系的一部分，现在市面上数据分析实训已有经济数据分析实训、商务数据分析实训、智能数据机器人实训等，</w:t>
      </w:r>
      <w:r>
        <w:rPr>
          <w:rFonts w:hint="eastAsia" w:ascii="宋体" w:hAnsi="宋体" w:cs="宋体"/>
          <w:sz w:val="21"/>
          <w:szCs w:val="21"/>
          <w:lang w:eastAsia="zh-CN"/>
        </w:rPr>
        <w:t>AI经济建模教学平台</w:t>
      </w:r>
      <w:r>
        <w:rPr>
          <w:rFonts w:hint="eastAsia" w:ascii="宋体" w:hAnsi="宋体" w:eastAsia="宋体" w:cs="宋体"/>
          <w:sz w:val="21"/>
          <w:szCs w:val="21"/>
        </w:rPr>
        <w:t>属于智能数据机器人实训。</w:t>
      </w:r>
    </w:p>
    <w:p w14:paraId="4736FA6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建议开课时间：大二或大三。</w:t>
      </w:r>
    </w:p>
    <w:p w14:paraId="7FCF08E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建议课时：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每个实验案例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6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-8课时</w:t>
      </w:r>
      <w:r>
        <w:rPr>
          <w:rFonts w:hint="eastAsia" w:ascii="宋体" w:hAnsi="宋体" w:eastAsia="宋体" w:cs="宋体"/>
          <w:sz w:val="21"/>
          <w:szCs w:val="21"/>
        </w:rPr>
        <w:t>。</w:t>
      </w:r>
    </w:p>
    <w:p w14:paraId="6C6B974A">
      <w:pPr>
        <w:pStyle w:val="4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rPr>
          <w:rFonts w:hint="eastAsia" w:ascii="宋体" w:hAnsi="宋体" w:eastAsia="宋体" w:cs="宋体"/>
          <w:sz w:val="24"/>
        </w:rPr>
      </w:pPr>
      <w:bookmarkStart w:id="7" w:name="_Toc4162"/>
      <w:bookmarkStart w:id="8" w:name="_Toc28830"/>
      <w:bookmarkStart w:id="9" w:name="_Toc7881"/>
      <w:r>
        <w:rPr>
          <w:rFonts w:hint="eastAsia" w:ascii="宋体" w:hAnsi="宋体" w:eastAsia="宋体" w:cs="宋体"/>
          <w:sz w:val="24"/>
        </w:rPr>
        <w:t>实验内容与项目概述</w:t>
      </w:r>
      <w:bookmarkEnd w:id="7"/>
      <w:bookmarkEnd w:id="8"/>
      <w:bookmarkEnd w:id="9"/>
    </w:p>
    <w:p w14:paraId="03A7D784">
      <w:pPr>
        <w:pStyle w:val="4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outlineLvl w:val="1"/>
        <w:rPr>
          <w:rFonts w:hint="eastAsia" w:ascii="宋体" w:hAnsi="宋体" w:eastAsia="宋体" w:cs="宋体"/>
          <w:sz w:val="24"/>
        </w:rPr>
      </w:pPr>
      <w:bookmarkStart w:id="10" w:name="_Toc18447"/>
      <w:bookmarkStart w:id="11" w:name="_Toc172639208"/>
      <w:bookmarkStart w:id="12" w:name="_Toc172640076"/>
      <w:r>
        <w:rPr>
          <w:rFonts w:hint="eastAsia" w:ascii="宋体" w:hAnsi="宋体" w:eastAsia="宋体" w:cs="宋体"/>
          <w:sz w:val="24"/>
          <w:lang w:val="en-US" w:eastAsia="zh-CN"/>
        </w:rPr>
        <w:t>AI经济建模教学平台</w:t>
      </w:r>
      <w:r>
        <w:rPr>
          <w:rFonts w:hint="eastAsia" w:ascii="宋体" w:hAnsi="宋体" w:cs="宋体"/>
          <w:sz w:val="24"/>
          <w:lang w:val="en-US" w:eastAsia="zh-CN"/>
        </w:rPr>
        <w:t>简介</w:t>
      </w:r>
      <w:bookmarkEnd w:id="10"/>
    </w:p>
    <w:p w14:paraId="2FBA801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AI经济建模教学平台可涵盖</w:t>
      </w:r>
      <w:r>
        <w:rPr>
          <w:rFonts w:hint="eastAsia" w:ascii="宋体" w:hAnsi="宋体" w:cs="宋体"/>
          <w:b/>
          <w:bCs/>
          <w:sz w:val="21"/>
          <w:szCs w:val="21"/>
          <w:lang w:val="en-US" w:eastAsia="zh-CN"/>
        </w:rPr>
        <w:t>8大单元</w:t>
      </w:r>
      <w:r>
        <w:rPr>
          <w:rFonts w:hint="eastAsia" w:ascii="宋体" w:hAnsi="宋体" w:eastAsia="宋体" w:cs="宋体"/>
          <w:b/>
          <w:bCs/>
          <w:sz w:val="21"/>
          <w:szCs w:val="21"/>
          <w:lang w:val="en-US" w:eastAsia="zh-CN"/>
        </w:rPr>
        <w:t>：</w:t>
      </w:r>
    </w:p>
    <w:p w14:paraId="17D8770D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顶刊论文结构拆解</w:t>
      </w:r>
    </w:p>
    <w:p w14:paraId="2C829F1B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eastAsia="zh-CN" w:bidi="ar"/>
        </w:rPr>
        <w:t>AI选题</w:t>
      </w:r>
    </w:p>
    <w:p w14:paraId="2875CC01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研究主题论证</w:t>
      </w:r>
    </w:p>
    <w:p w14:paraId="3AFD5AA5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提出假说</w:t>
      </w:r>
    </w:p>
    <w:p w14:paraId="121EA57D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实证分析</w:t>
      </w:r>
    </w:p>
    <w:p w14:paraId="50BE007A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结果解读</w:t>
      </w:r>
    </w:p>
    <w:p w14:paraId="44D067F7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eastAsia="宋体" w:cs="宋体"/>
          <w:sz w:val="21"/>
          <w:szCs w:val="21"/>
          <w:lang w:bidi="ar"/>
        </w:rPr>
        <w:t>研究背景、理论分析、假设论证</w:t>
      </w:r>
    </w:p>
    <w:p w14:paraId="2D0272FE">
      <w:pPr>
        <w:pageBreakBefore w:val="0"/>
        <w:widowControl w:val="0"/>
        <w:numPr>
          <w:ilvl w:val="0"/>
          <w:numId w:val="4"/>
        </w:numPr>
        <w:tabs>
          <w:tab w:val="left" w:pos="84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39" w:right="0" w:firstLine="105" w:firstLineChars="50"/>
        <w:textAlignment w:val="auto"/>
        <w:rPr>
          <w:rFonts w:hint="eastAsia" w:ascii="宋体" w:hAnsi="宋体" w:eastAsia="宋体" w:cs="宋体"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eastAsia="zh-CN" w:bidi="ar"/>
        </w:rPr>
        <w:t>润色与AI审稿</w:t>
      </w:r>
    </w:p>
    <w:p w14:paraId="30E4F946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</w:rPr>
      </w:pPr>
      <w:bookmarkStart w:id="13" w:name="_Toc9319"/>
      <w:bookmarkStart w:id="14" w:name="_Toc25122"/>
      <w:bookmarkStart w:id="15" w:name="_Toc24410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顶刊论文结构拆解</w:t>
      </w:r>
      <w:bookmarkEnd w:id="13"/>
      <w:bookmarkEnd w:id="14"/>
      <w:bookmarkEnd w:id="15"/>
    </w:p>
    <w:p w14:paraId="2EBFC1D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930EBB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作为科研小白，需要从海量文献阅读中获取思路，也常需要花到两到三个月时间总结整理，面对大量中文、外文文献阅读，常觉费尽神思，越来越需要相关工具辅助拆解顶刊论文结构，实现精读、深读。</w:t>
      </w:r>
    </w:p>
    <w:p w14:paraId="19A5BA19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实验内容</w:t>
      </w:r>
    </w:p>
    <w:p w14:paraId="07B53CB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1顶刊论文结构拆解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26"/>
        <w:gridCol w:w="1109"/>
        <w:gridCol w:w="5058"/>
        <w:gridCol w:w="1356"/>
      </w:tblGrid>
      <w:tr w14:paraId="7BAE10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226" w:type="dxa"/>
            <w:shd w:val="clear" w:color="auto" w:fill="E6E6E6"/>
            <w:noWrap w:val="0"/>
            <w:vAlign w:val="center"/>
          </w:tcPr>
          <w:p w14:paraId="30C491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109" w:type="dxa"/>
            <w:shd w:val="clear" w:color="auto" w:fill="E6E6E6"/>
            <w:noWrap w:val="0"/>
            <w:vAlign w:val="center"/>
          </w:tcPr>
          <w:p w14:paraId="1D3C45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538355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CB955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37284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restart"/>
            <w:noWrap w:val="0"/>
            <w:vAlign w:val="center"/>
          </w:tcPr>
          <w:p w14:paraId="729E5B7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顶刊论文结构拆解</w:t>
            </w:r>
          </w:p>
          <w:p w14:paraId="2EEBD5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restart"/>
            <w:noWrap w:val="0"/>
            <w:vAlign w:val="center"/>
          </w:tcPr>
          <w:p w14:paraId="3B2DA6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7EA6C5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选取目标顶刊论文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6C7E1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01F542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022CAC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23FCCB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BC347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8B109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打开并登录数字经济AI平台，下载案例附件并解压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387B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81C0A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7D5380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712204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E94A5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0D0A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9EABB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B344F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restart"/>
            <w:noWrap w:val="0"/>
            <w:vAlign w:val="center"/>
          </w:tcPr>
          <w:p w14:paraId="1E7CD4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top"/>
          </w:tcPr>
          <w:p w14:paraId="6E10CB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选择长文档解读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9F44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A0B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719449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ACB650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498915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上传文档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A86F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2E45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EA7F1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200D0D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3F5800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利用国内AI平台梳理整个文档的大纲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6AA4B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24A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6124E1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105292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4B80EB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/>
                <w:bCs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b w:val="0"/>
                <w:bCs w:val="0"/>
                <w:spacing w:val="10"/>
                <w:sz w:val="18"/>
                <w:szCs w:val="18"/>
                <w:lang w:val="en-US" w:eastAsia="zh-CN"/>
              </w:rPr>
              <w:t>拆解</w:t>
            </w:r>
            <w:r>
              <w:rPr>
                <w:rFonts w:hint="eastAsia" w:ascii="宋体" w:hAnsi="宋体" w:eastAsia="宋体" w:cs="宋体"/>
                <w:b w:val="0"/>
                <w:bCs w:val="0"/>
                <w:spacing w:val="10"/>
                <w:sz w:val="18"/>
                <w:szCs w:val="18"/>
                <w:lang w:val="en-US" w:eastAsia="zh-CN"/>
              </w:rPr>
              <w:t>研究设计，借鉴仿写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0049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619AA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4E4FA2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67B6E4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7EC5B7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拆解模型构建思路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0B1E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3A165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508492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5FEEC0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7DC26B8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拆借定义变量思路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03AA8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9752A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103E86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32A50A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68515A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样本选取与数据来源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147EF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531BA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05AF70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vMerge w:val="continue"/>
            <w:noWrap w:val="0"/>
            <w:vAlign w:val="center"/>
          </w:tcPr>
          <w:p w14:paraId="070BA71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09A82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拆解实证结果与分析思路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15D7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DA851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226" w:type="dxa"/>
            <w:vMerge w:val="continue"/>
            <w:noWrap w:val="0"/>
            <w:vAlign w:val="center"/>
          </w:tcPr>
          <w:p w14:paraId="2C1657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09" w:type="dxa"/>
            <w:noWrap w:val="0"/>
            <w:vAlign w:val="center"/>
          </w:tcPr>
          <w:p w14:paraId="5F336D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743731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构建仿写论文结构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，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设计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8EE6B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D99C0E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6BB5F40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5C79502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选取目标顶刊论文</w:t>
      </w:r>
    </w:p>
    <w:p w14:paraId="3816FA6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打开并登录数字经济AI平台，下载案例附件并解压</w:t>
      </w:r>
    </w:p>
    <w:p w14:paraId="52DD6D4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利用国内AI平台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解读</w:t>
      </w:r>
      <w:r>
        <w:rPr>
          <w:rFonts w:hint="eastAsia" w:ascii="宋体" w:hAnsi="宋体" w:eastAsia="宋体" w:cs="宋体"/>
          <w:sz w:val="21"/>
          <w:szCs w:val="21"/>
        </w:rPr>
        <w:t>整个文档的大纲</w:t>
      </w:r>
    </w:p>
    <w:p w14:paraId="5207DA6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拆解研究设计、模型构建、定义变量、实证分析思路，借鉴仿写</w:t>
      </w:r>
    </w:p>
    <w:p w14:paraId="503E155E">
      <w:pPr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6D745EBB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构建仿写论文结构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</w:rPr>
        <w:t>设计论文仿写文档</w:t>
      </w:r>
    </w:p>
    <w:p w14:paraId="69B2E67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847080" cy="2791460"/>
            <wp:effectExtent l="0" t="0" r="1270" b="8890"/>
            <wp:docPr id="68" name="图片 48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48" descr="IMG_267"/>
                    <pic:cNvPicPr>
                      <a:picLocks noChangeAspect="1"/>
                    </pic:cNvPicPr>
                  </pic:nvPicPr>
                  <pic:blipFill>
                    <a:blip r:embed="rId17"/>
                    <a:srcRect t="10835" b="4294"/>
                    <a:stretch>
                      <a:fillRect/>
                    </a:stretch>
                  </pic:blipFill>
                  <pic:spPr>
                    <a:xfrm>
                      <a:off x="0" y="0"/>
                      <a:ext cx="5847080" cy="279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623560" cy="2593975"/>
            <wp:effectExtent l="0" t="0" r="15240" b="15875"/>
            <wp:docPr id="6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4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2356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4889500" cy="2254250"/>
            <wp:effectExtent l="0" t="0" r="6350" b="12700"/>
            <wp:docPr id="63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89500" cy="225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2425065"/>
            <wp:effectExtent l="0" t="0" r="4445" b="13335"/>
            <wp:docPr id="70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5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2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2405380"/>
            <wp:effectExtent l="0" t="0" r="9525" b="13970"/>
            <wp:docPr id="58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8DCAC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  <w:lang w:val="en-US" w:eastAsia="zh-CN"/>
        </w:rPr>
        <w:t>AI选题</w:t>
      </w:r>
    </w:p>
    <w:p w14:paraId="3471D5D6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B2BEA9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在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论文</w:t>
      </w:r>
      <w:r>
        <w:rPr>
          <w:rFonts w:hint="eastAsia" w:ascii="宋体" w:hAnsi="宋体" w:eastAsia="宋体" w:cs="宋体"/>
          <w:sz w:val="21"/>
          <w:szCs w:val="21"/>
        </w:rPr>
        <w:t>选题时缺乏明确的方向和目标，不知道如何确定一个好的论文题目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，作为经管类专业的难以从模型上进行创新，是不是可以从理论、方法、数据上进行论文创新呢？从数据创新角度进行论文主题探索正逐渐常态化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，用大数据技术追踪指定C刊的论文选题热点，实现AI与数据集匹配，自动给出以投刊为目的热点选题。</w:t>
      </w:r>
    </w:p>
    <w:p w14:paraId="00B96AE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287CE24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2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AI选题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744EFD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7175E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BCE85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36536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B8944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536DB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1D04BB0F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val="en-US" w:eastAsia="zh-CN" w:bidi="ar"/>
              </w:rPr>
              <w:t>AI选题</w:t>
            </w:r>
          </w:p>
          <w:p w14:paraId="7F0E48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8F602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6D83EC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10745C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4387CE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764900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05AA67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61CC1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AFA1D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8BCC1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9BCFE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91B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F3E5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2FD88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DA611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21E6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971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8DA23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24413C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利用国内AI确定主题方向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D7DED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FBF6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E1450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23558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3F9648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查看杰科力数据集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AA59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E14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C4C433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5077A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210FB1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搜索相关方向数据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5BBB7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9CB7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44A0E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E8D55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1B46FE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验证数据指标匹配度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CE62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A4E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828E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456D3E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960D7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确定论文研究方向，整理数据资料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8DA6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C55AE9A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555CDC3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3E51FB47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根据整理的论文仿写思路后打开国内AI平台和杰科力AI 平台</w:t>
      </w:r>
    </w:p>
    <w:p w14:paraId="1FE16F3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利用国内AI确定主题方向</w:t>
      </w:r>
    </w:p>
    <w:p w14:paraId="396EE9C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查看杰科力数据集，搜索相关方向数据，验证数据指标匹配度</w:t>
      </w:r>
    </w:p>
    <w:p w14:paraId="5F55B729">
      <w:pPr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121E96C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确定论文主题，整理数据资料</w:t>
      </w:r>
    </w:p>
    <w:p w14:paraId="5B8C162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386330"/>
            <wp:effectExtent l="0" t="0" r="0" b="0"/>
            <wp:docPr id="54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3"/>
                    <pic:cNvPicPr>
                      <a:picLocks noChangeAspect="1"/>
                    </pic:cNvPicPr>
                  </pic:nvPicPr>
                  <pic:blipFill>
                    <a:blip r:embed="rId22"/>
                    <a:srcRect t="981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86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7485" cy="3459480"/>
            <wp:effectExtent l="0" t="0" r="0" b="0"/>
            <wp:docPr id="52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4"/>
                    <pic:cNvPicPr>
                      <a:picLocks noChangeAspect="1"/>
                    </pic:cNvPicPr>
                  </pic:nvPicPr>
                  <pic:blipFill>
                    <a:blip r:embed="rId23"/>
                    <a:srcRect t="4915" r="-96" b="4932"/>
                    <a:stretch>
                      <a:fillRect/>
                    </a:stretch>
                  </pic:blipFill>
                  <pic:spPr>
                    <a:xfrm>
                      <a:off x="0" y="0"/>
                      <a:ext cx="5277485" cy="345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B8B26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6" w:name="_Toc13929"/>
      <w:bookmarkStart w:id="17" w:name="_Toc12343"/>
      <w:bookmarkStart w:id="18" w:name="_Toc11244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研究主题论证</w:t>
      </w:r>
      <w:bookmarkEnd w:id="16"/>
      <w:bookmarkEnd w:id="17"/>
      <w:bookmarkEnd w:id="18"/>
    </w:p>
    <w:p w14:paraId="3555A7B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4BD263E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如何确定研究方向是否已被引用并发表、研究是否有意义？还需要进一步论证主题相关文献，平时仅能就校内已有论文库进行查询，查询范围受限，如果仅在网络上自行查询，一方面无法确定文献是否真实，另一方面还需要进行大量整理，尤其是外文文献整理尤其令人烦恼，如果快速整理出引用文献，兼具中文与外文文献，同时标注文献研究方向、引用情况、文献出处等，正在成为高校科研师生迫切需要解决的问题。</w:t>
      </w:r>
    </w:p>
    <w:p w14:paraId="62A5D35A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0EDBCB3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3 研究主题论证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5C4F17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2C856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5B920D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5281A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17DC4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92433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0B3D35F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研究主题论证</w:t>
            </w:r>
          </w:p>
          <w:p w14:paraId="69D556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6B7BE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4CF980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文档及提示词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CE435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1BAA53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A7223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8C8E4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1A4EF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37598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74514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1C077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C0C6D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45BF6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打开国内AI平台的学术咨询界面，输入关键词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CA61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F54B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157EE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FCCFF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5CD3DD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研究情况查询并核实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E934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1BE2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88ECC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3C028F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BA29F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论证论文主题意义，形成论文问题研究导向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55EAA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40DD192">
      <w:pPr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7C9985B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B0AD04F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根据整理的论文仿写思路后打开并登录国内AI平台</w:t>
      </w:r>
    </w:p>
    <w:p w14:paraId="06D093E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利用国内AI论证主题研究意义</w:t>
      </w:r>
    </w:p>
    <w:p w14:paraId="2AF6E90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研究情况查询并核实</w:t>
      </w:r>
    </w:p>
    <w:p w14:paraId="5EE21CB8">
      <w:pPr>
        <w:pageBreakBefore w:val="0"/>
        <w:widowControl w:val="0"/>
        <w:numPr>
          <w:ilvl w:val="0"/>
          <w:numId w:val="1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23EEBA4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论证论文主题意义，形成论文问题研究导向</w:t>
      </w:r>
    </w:p>
    <w:p w14:paraId="6B5740E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2302510"/>
            <wp:effectExtent l="0" t="0" r="4445" b="2540"/>
            <wp:docPr id="69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5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0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454275"/>
            <wp:effectExtent l="0" t="0" r="12700" b="3175"/>
            <wp:docPr id="64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BAF25F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19" w:name="_Toc22242"/>
      <w:bookmarkStart w:id="20" w:name="_Toc7498"/>
      <w:bookmarkStart w:id="21" w:name="_Toc15305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提出假说</w:t>
      </w:r>
      <w:bookmarkEnd w:id="19"/>
      <w:bookmarkEnd w:id="20"/>
      <w:bookmarkEnd w:id="21"/>
    </w:p>
    <w:p w14:paraId="2C70F0D8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5121B4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确定论文研究方向后，还需要根据研究导向，提出问题假说，但由于缺乏足够的背景知识来形成有根据的假说，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难以识别真正的研究空白，可能会重复他人的工作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。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如何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构建一个合理且有说服力的理论框架可能需要深入的专业知识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也逐渐成为亟待解决的。</w:t>
      </w:r>
    </w:p>
    <w:p w14:paraId="191DE01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5FBC2F6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4 提出假说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2A5BEC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28EE30B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A51B1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90F44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0F426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21C5DF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1BCA7F2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提出假说</w:t>
            </w:r>
          </w:p>
          <w:p w14:paraId="61ECB1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DF828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C734F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论文仿写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文档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35E651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7A037D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CNKI+WOS</w:t>
            </w:r>
          </w:p>
        </w:tc>
      </w:tr>
      <w:tr w14:paraId="02DC9D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2F136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9349D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A2138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打开并登录CNKI+WOS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3F957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436101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78AD5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B5B2C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3082F9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查询相关研究假说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E4126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8E59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902FF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1C4F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513E94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对比CNKI+WOS各文献假说的理论依据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2EE5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CD7E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570CB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51E2B3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AD925C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总结并提出研究假说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3619C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D2A95CF">
      <w:pPr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0B85742C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7BDDE55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打开并登录CNKI+WOS，查询相关研究假说</w:t>
      </w:r>
    </w:p>
    <w:p w14:paraId="6F715B2C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对比CNKI+WOS各文献假说的理论依据</w:t>
      </w:r>
    </w:p>
    <w:p w14:paraId="2FFF603A">
      <w:pPr>
        <w:pageBreakBefore w:val="0"/>
        <w:widowControl w:val="0"/>
        <w:numPr>
          <w:ilvl w:val="0"/>
          <w:numId w:val="1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CE3E88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总结并提出研究假说</w:t>
      </w:r>
    </w:p>
    <w:p w14:paraId="714736F4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2" w:name="_Toc23528"/>
      <w:bookmarkStart w:id="23" w:name="_Toc18752"/>
      <w:bookmarkStart w:id="24" w:name="_Toc3170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实证分析</w:t>
      </w:r>
      <w:bookmarkEnd w:id="22"/>
      <w:bookmarkEnd w:id="23"/>
      <w:bookmarkEnd w:id="24"/>
    </w:p>
    <w:p w14:paraId="363899F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3FA0C82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</w:rPr>
        <w:t>以前做计量分析的时候，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通常是借助stata、Eviews、R、spss、Python软件进行计量建模等，通常是</w:t>
      </w:r>
      <w:r>
        <w:rPr>
          <w:rFonts w:hint="eastAsia" w:ascii="宋体" w:hAnsi="宋体" w:eastAsia="宋体" w:cs="宋体"/>
          <w:sz w:val="21"/>
          <w:szCs w:val="21"/>
        </w:rPr>
        <w:t>首先下载数据，然后清洗数据，接着还要处理面板数据，最后输入一大串代码才能进行回归分析</w:t>
      </w:r>
      <w:r>
        <w:rPr>
          <w:rFonts w:hint="eastAsia" w:ascii="宋体" w:hAnsi="宋体" w:eastAsia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不仅步骤烦琐，还有一大堆软件需要学习，甚至记不住相关代码</w:t>
      </w:r>
      <w:r>
        <w:rPr>
          <w:rFonts w:hint="eastAsia" w:ascii="宋体" w:hAnsi="宋体" w:eastAsia="宋体" w:cs="宋体"/>
          <w:sz w:val="21"/>
          <w:szCs w:val="21"/>
        </w:rPr>
        <w:t>。那有没有更简便的方法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快速实现数据处理、数据分析、计量建模测算呢？</w:t>
      </w:r>
    </w:p>
    <w:p w14:paraId="7C2116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借用AI经济建模平台，全程低代码，拖拉拽方式实现读取数据、数据预处理、各类检验、数据可视化、特征工程、文本分析、调试工具、stata计量建模分析等科研分析任务，包括稳健性测试、工具变量检验、作用渠道检验、异质性检验、双重差分模型、双向固定效应模型、渐进双重差分模型、交叠双重差分模型、β收敛模型，统统可以完美复现，还有stata代码和Python代码可以再次验证数据。</w:t>
      </w:r>
    </w:p>
    <w:p w14:paraId="25F627C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0A05F8C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5 实证分析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00"/>
        <w:gridCol w:w="1016"/>
        <w:gridCol w:w="5617"/>
        <w:gridCol w:w="1116"/>
      </w:tblGrid>
      <w:tr w14:paraId="20BD3C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00" w:type="dxa"/>
            <w:shd w:val="clear" w:color="auto" w:fill="E6E6E6"/>
            <w:noWrap w:val="0"/>
            <w:vAlign w:val="center"/>
          </w:tcPr>
          <w:p w14:paraId="7357E89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016" w:type="dxa"/>
            <w:shd w:val="clear" w:color="auto" w:fill="E6E6E6"/>
            <w:noWrap w:val="0"/>
            <w:vAlign w:val="center"/>
          </w:tcPr>
          <w:p w14:paraId="5DDDE2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617" w:type="dxa"/>
            <w:shd w:val="clear" w:color="auto" w:fill="E6E6E6"/>
            <w:noWrap w:val="0"/>
            <w:vAlign w:val="center"/>
          </w:tcPr>
          <w:p w14:paraId="62C6E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116" w:type="dxa"/>
            <w:shd w:val="clear" w:color="auto" w:fill="E6E6E6"/>
            <w:noWrap w:val="0"/>
            <w:vAlign w:val="center"/>
          </w:tcPr>
          <w:p w14:paraId="5B700C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5A469A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restart"/>
            <w:noWrap w:val="0"/>
            <w:vAlign w:val="center"/>
          </w:tcPr>
          <w:p w14:paraId="12B4FDB9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实证分析</w:t>
            </w:r>
          </w:p>
          <w:p w14:paraId="7364B4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57758D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617" w:type="dxa"/>
            <w:noWrap w:val="0"/>
            <w:vAlign w:val="center"/>
          </w:tcPr>
          <w:p w14:paraId="05EF6A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准备论文数据</w:t>
            </w:r>
          </w:p>
        </w:tc>
        <w:tc>
          <w:tcPr>
            <w:tcW w:w="1116" w:type="dxa"/>
            <w:vMerge w:val="restart"/>
            <w:noWrap w:val="0"/>
            <w:vAlign w:val="center"/>
          </w:tcPr>
          <w:p w14:paraId="7E9992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</w:tc>
      </w:tr>
      <w:tr w14:paraId="19AD93C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49AA6C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AC62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0DADF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打开并登录数字经济AI平台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6B4626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331D1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19E2B2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F198E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0FEC9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打开模型参考案例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048F4D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86167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63FE7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089799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617" w:type="dxa"/>
            <w:noWrap w:val="0"/>
            <w:vAlign w:val="center"/>
          </w:tcPr>
          <w:p w14:paraId="67C46E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读取数据，通过拖拽功能组件读取 txt 、csv 、 Excel等格式的文件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4952E3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0EC44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6654260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0BE92A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93B64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可通过拖拽功能了解数据并查看前N行、后台调用stata代码和Python代码进行描述性统计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4B050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C2D63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755C89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8F26D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118E68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通过拖拽功能组件转换、设置、过滤、生成等数据预处理，如长表转成宽表、日期格式转换、缩尾或截尾、数字字符转数值、设置列数据类型、索引控制、排序、更改行名/列名、设置面板数据、设置时间序列数据、采样、行过滤、删除重复值/缺失值、缺失值填充、数据拆分、分离特征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数据预处理常见操作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46916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B214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34E8C8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34361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627404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数据检验，选择卡方检验，T检验-双样本、T检验-单样本、偏态分布检验、hausman检验、倾向得分匹配、处理效应估计、平衡性检验、多重共线性检验、似无相关估计等操作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CB96A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7397D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8336C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6D3EE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118AC7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实现箱线图、热力图、直方图、散点图、时序图、饼图、柱状图、折线图等数据可视化呈现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4A5A9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50AC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2F911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54736D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31D21C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通过拖拉拽实现行列转置、离散化、特征变换、正则化、中心化、标准化、数据透视表、归一化、主成分分析/PCA、序列编码、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独立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编码等特征工程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E9219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505CF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64FE1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7201C7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3A4520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实现词频统计、词性筛选、词云、文本预处理、去停用词、TF-IDF、文本数据分类、词共现矩阵、词共现网络图、情感倾向词统计及分析、LDA主题困惑度曲线图及LDA主题分析等文本分析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568D0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DB8CE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78EC794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391E02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55387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后台调用stata代码，通过拖拉拽功能组件实现变量预设、相关性分析、线性回归、面板数据回归、高维固定效应回归、双重差分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DID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、二阶段回归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2SLS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）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、面板数据二阶段回归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（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2SLS）、动态面板数据的GMM估计、高维固定效应IV估计、面板数据二元选择模型、分位数回归、逻辑回归、正态分布模型、截面门槛效应回归、面板门槛效应回归等传统计量建模分析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359B48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EFA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3136C7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30C1FC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2940B3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创建空间权重矩阵、空间面板数据回归等空间计量建模分析（stata）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6C281E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F469F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5FF5A4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restart"/>
            <w:noWrap w:val="0"/>
            <w:vAlign w:val="center"/>
          </w:tcPr>
          <w:p w14:paraId="60F9DA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617" w:type="dxa"/>
            <w:noWrap w:val="0"/>
            <w:vAlign w:val="center"/>
          </w:tcPr>
          <w:p w14:paraId="7A03DB3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总结双重差分模型的计量建模方法和计量过程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2FAAE0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152EB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0F534D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444F1C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78F3A0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渐进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的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3B4AA2E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1E61F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1D453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29F264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452A1F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总结β收敛模型的计量建模方法和计量过程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1C970C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9601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00" w:type="dxa"/>
            <w:vMerge w:val="continue"/>
            <w:noWrap w:val="0"/>
            <w:vAlign w:val="center"/>
          </w:tcPr>
          <w:p w14:paraId="204DFA4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16" w:type="dxa"/>
            <w:vMerge w:val="continue"/>
            <w:noWrap w:val="0"/>
            <w:vAlign w:val="center"/>
          </w:tcPr>
          <w:p w14:paraId="177BAA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617" w:type="dxa"/>
            <w:noWrap w:val="0"/>
            <w:vAlign w:val="center"/>
          </w:tcPr>
          <w:p w14:paraId="016066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完成仿写论文的实证分析</w:t>
            </w:r>
          </w:p>
        </w:tc>
        <w:tc>
          <w:tcPr>
            <w:tcW w:w="1116" w:type="dxa"/>
            <w:vMerge w:val="continue"/>
            <w:noWrap w:val="0"/>
            <w:vAlign w:val="center"/>
          </w:tcPr>
          <w:p w14:paraId="4B982B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34466819">
      <w:pPr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2A132A7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2A9EB35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准备论文数据</w:t>
      </w:r>
    </w:p>
    <w:p w14:paraId="5955C25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打开并登录数字经济AI平台，打开模型参考案例对比</w:t>
      </w:r>
    </w:p>
    <w:p w14:paraId="63251B3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读取数据，通过拖拽功能组件读取 txt 、csv 、 Excel等格式的文件</w:t>
      </w:r>
    </w:p>
    <w:p w14:paraId="6C792033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了解数据，可通过拖拽功能了解数据并查看前N行、后台调用stata代码和Python代码进行描述性统计</w:t>
      </w:r>
    </w:p>
    <w:p w14:paraId="6910718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预处理，通过拖拽功能组件转换、设置、过滤、生成等数据预处理，如长表转成宽表、日期格式转换、缩尾或截尾、数字字符转数值、设置列数据类型、索引控制、排序、更改行名/列名、设置面板数据、设置时间序列数据、采样、行过滤、删除重复值/缺失值、缺失值填充、数据拆分、分离特征等常见操作</w:t>
      </w:r>
    </w:p>
    <w:p w14:paraId="16C9A5B0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数据检验，选择卡方检验，T检验-双样本、T检验-单样本、偏态分布检验、hausman检验、倾向得分匹配、处理效应估计、平衡性检验、多重共线性检验、似无相关估计等操作</w:t>
      </w:r>
    </w:p>
    <w:p w14:paraId="1B9DEC5E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数据可视化，实现箱线图、热力图、直方图、散点图、时序图、饼图、柱状图、折线图等呈现</w:t>
      </w:r>
    </w:p>
    <w:p w14:paraId="20D1854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特征工程，通过拖拉拽实现行列转置、离散化、特征变换、正则化、中心化、标准化、数据透视表、归一化、主成分分析/PCA、序列编码、独立编码等特征工程</w:t>
      </w:r>
    </w:p>
    <w:p w14:paraId="536DB3DB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文本分析，实现词频统计、词性筛选、词云、文本预处理、去停用词、TF-IDF、文本数据分类、词共现矩阵、词共现网络图、情感倾向词统计及分析、LDA主题困惑度曲线图及LDA主题分析等文本分析</w:t>
      </w:r>
    </w:p>
    <w:p w14:paraId="57AC15CA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传统计量建模分析（stata），后台调用stata代码，通过拖拉拽功能组件实现变量预设、相关性分析、线性回归、面板数据回归、高维固定效应回归、双重差分（DID）、二阶段回归（2SLS）、面板数据二阶段回归（2SLS）、动态面板数据的GMM估计、高维固定效应IV估计、面板数据二元选择模型、分位数回归、逻辑回归、正态分布模型、截面门槛效应回归、面板门槛效应回归等分析</w:t>
      </w:r>
    </w:p>
    <w:p w14:paraId="0431BAB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空间计量建模分析（stata），创建空间权重矩阵、空间面板数据回归等</w:t>
      </w:r>
    </w:p>
    <w:p w14:paraId="15AB510F">
      <w:pPr>
        <w:pageBreakBefore w:val="0"/>
        <w:widowControl w:val="0"/>
        <w:numPr>
          <w:ilvl w:val="0"/>
          <w:numId w:val="1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693265A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总结双重差分模型的计量建模方法和计量过程</w:t>
      </w:r>
    </w:p>
    <w:p w14:paraId="09A17CB1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总结渐进双重差分模型的计量建模方法和计量过程</w:t>
      </w:r>
    </w:p>
    <w:p w14:paraId="4E85FE3F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总结β收敛模型的计量建模方法和计量过程</w:t>
      </w:r>
    </w:p>
    <w:p w14:paraId="1D452AD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完成仿写论文的实证分析</w:t>
      </w:r>
    </w:p>
    <w:p w14:paraId="0905ED3E">
      <w:pPr>
        <w:pageBreakBefore w:val="0"/>
        <w:widowControl w:val="0"/>
        <w:numPr>
          <w:ilvl w:val="0"/>
          <w:numId w:val="0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64150" cy="2498090"/>
            <wp:effectExtent l="0" t="0" r="12700" b="16510"/>
            <wp:docPr id="62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9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18535" cy="3937000"/>
            <wp:effectExtent l="0" t="0" r="5715" b="6350"/>
            <wp:docPr id="67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58"/>
                    <pic:cNvPicPr>
                      <a:picLocks noChangeAspect="1"/>
                    </pic:cNvPicPr>
                  </pic:nvPicPr>
                  <pic:blipFill>
                    <a:blip r:embed="rId27"/>
                    <a:srcRect l="33209" t="15977"/>
                    <a:stretch>
                      <a:fillRect/>
                    </a:stretch>
                  </pic:blipFill>
                  <pic:spPr>
                    <a:xfrm>
                      <a:off x="0" y="0"/>
                      <a:ext cx="3518535" cy="393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3557905" cy="4282440"/>
            <wp:effectExtent l="0" t="0" r="4445" b="3810"/>
            <wp:docPr id="50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9"/>
                    <pic:cNvPicPr>
                      <a:picLocks noChangeAspect="1"/>
                    </pic:cNvPicPr>
                  </pic:nvPicPr>
                  <pic:blipFill>
                    <a:blip r:embed="rId28"/>
                    <a:srcRect l="32469" t="6412"/>
                    <a:stretch>
                      <a:fillRect/>
                    </a:stretch>
                  </pic:blipFill>
                  <pic:spPr>
                    <a:xfrm>
                      <a:off x="0" y="0"/>
                      <a:ext cx="3557905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4310" cy="2303145"/>
            <wp:effectExtent l="0" t="0" r="2540" b="1905"/>
            <wp:docPr id="55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6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7325" cy="1558925"/>
            <wp:effectExtent l="0" t="0" r="9525" b="3175"/>
            <wp:docPr id="59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6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5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8DEEC5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5" w:name="_Toc4827"/>
      <w:bookmarkStart w:id="26" w:name="_Toc5951"/>
      <w:bookmarkStart w:id="27" w:name="_Toc18263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结果解读</w:t>
      </w:r>
      <w:bookmarkEnd w:id="25"/>
      <w:bookmarkEnd w:id="26"/>
      <w:bookmarkEnd w:id="27"/>
    </w:p>
    <w:p w14:paraId="7BDE6BEC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4115ED6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在实证过程中需要解读计量建模结果，但由于缺失代码基础及计量基础，难以正确解读，容易将整个研究假设推翻，造成工作无效。如果可以借助工具辅助解读，一定程度上可以避免。</w:t>
      </w:r>
    </w:p>
    <w:p w14:paraId="4634211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6091626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6 结果解读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F29E1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B7C85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50D4CD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AC882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2D28AD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317ECF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183FEECC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结果解读</w:t>
            </w:r>
          </w:p>
          <w:p w14:paraId="6E3FC2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2C87E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4D84C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打开并登录国内AI平台和AI经济建模教学平台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1F676A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27EDC75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00234E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4913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0B889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FAD4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准备需要解读的代码及数据结果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9C1AC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FA728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1D55D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55B229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44DA04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输入需要解读的代码及数据结果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DC967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88318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F9CA43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151AF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top"/>
          </w:tcPr>
          <w:p w14:paraId="183D12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打开stata等相应平台进行论证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09F3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502D6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48C39E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2CECAE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231AD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总结计量分析数据结果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F9C0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B3416EC">
      <w:pPr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564D8CE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F2BDC13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打开并登录国内AI平台和AI经济建模教学平台</w:t>
      </w:r>
    </w:p>
    <w:p w14:paraId="102B5AC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准备需要解读的代码及数据结果</w:t>
      </w:r>
    </w:p>
    <w:p w14:paraId="3706675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输入需要解读的代码及数据，打开stata等相应平台进行论证</w:t>
      </w:r>
    </w:p>
    <w:p w14:paraId="67AB8217">
      <w:pPr>
        <w:pageBreakBefore w:val="0"/>
        <w:widowControl w:val="0"/>
        <w:numPr>
          <w:ilvl w:val="0"/>
          <w:numId w:val="1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5074D4A8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总结计量分析数据结果</w:t>
      </w:r>
    </w:p>
    <w:p w14:paraId="7918541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581015" cy="3210560"/>
            <wp:effectExtent l="0" t="0" r="635" b="8890"/>
            <wp:docPr id="56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62"/>
                    <pic:cNvPicPr>
                      <a:picLocks noChangeAspect="1"/>
                    </pic:cNvPicPr>
                  </pic:nvPicPr>
                  <pic:blipFill>
                    <a:blip r:embed="rId31"/>
                    <a:srcRect t="9982"/>
                    <a:stretch>
                      <a:fillRect/>
                    </a:stretch>
                  </pic:blipFill>
                  <pic:spPr>
                    <a:xfrm>
                      <a:off x="0" y="0"/>
                      <a:ext cx="558101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2405" cy="3726815"/>
            <wp:effectExtent l="0" t="0" r="4445" b="6985"/>
            <wp:docPr id="6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2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66690" cy="2609215"/>
            <wp:effectExtent l="0" t="0" r="10160" b="635"/>
            <wp:docPr id="65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0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99E94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28" w:name="_Toc19669"/>
      <w:bookmarkStart w:id="29" w:name="_Toc169"/>
      <w:bookmarkStart w:id="30" w:name="_Toc24596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研究背景、理论分析、假设论证</w:t>
      </w:r>
      <w:bookmarkEnd w:id="28"/>
      <w:bookmarkEnd w:id="29"/>
      <w:bookmarkEnd w:id="30"/>
    </w:p>
    <w:p w14:paraId="37BB664E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5A09B16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作为科研新手，尤其是科研小白，由于没有足够的理论积累，无法清晰而完整地总结当前论文的研究背景、理论分析、假设论证，如有理论基础深厚，涉猎全面的工具进行辅助，也将给科研锦上添花。</w:t>
      </w:r>
    </w:p>
    <w:p w14:paraId="1670D5E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39040D8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7 研究背景、理论分析、假设论证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BDB92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623C99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17FF2E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16BC6FC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7F9E0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7A029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3C251055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研究背景、理论分析、假设论证</w:t>
            </w:r>
          </w:p>
          <w:p w14:paraId="355CFA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52534C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1A7B97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DDEFE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AI经济建模教学平台</w:t>
            </w:r>
          </w:p>
          <w:p w14:paraId="10F8FA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135D36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E1FF95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3CB44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F42C3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F468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B4D5B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9EF5D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6836B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EDA57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4EC2D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12948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ED49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5E7AFEB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34E580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531BB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6C32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C861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D00CF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E598F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整理给出相关文献的理论应用情况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2E49A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EA670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A21E6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460E4A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4083A6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总结论文的研究背景、理论分析、假设论证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BFE91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A63F2DB">
      <w:pPr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3A464D3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4E88A49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</w:t>
      </w:r>
    </w:p>
    <w:p w14:paraId="178DD66D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输入问答提示词</w:t>
      </w:r>
    </w:p>
    <w:p w14:paraId="2932FA4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整理给出相关文献的理论应用情况</w:t>
      </w:r>
    </w:p>
    <w:p w14:paraId="6B8F1F59">
      <w:pPr>
        <w:pageBreakBefore w:val="0"/>
        <w:widowControl w:val="0"/>
        <w:numPr>
          <w:ilvl w:val="0"/>
          <w:numId w:val="14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46E72F6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总结论文的研究背景、理论分析、假设论证</w:t>
      </w:r>
    </w:p>
    <w:p w14:paraId="20A0D6D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leftChars="0" w:right="0" w:firstLine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270500" cy="3480435"/>
            <wp:effectExtent l="0" t="0" r="6350" b="5715"/>
            <wp:docPr id="51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6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</w:rPr>
        <w:drawing>
          <wp:inline distT="0" distB="0" distL="114300" distR="114300">
            <wp:extent cx="5273040" cy="2820670"/>
            <wp:effectExtent l="0" t="0" r="3810" b="17780"/>
            <wp:docPr id="5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6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D9851">
      <w:pPr>
        <w:pStyle w:val="6"/>
        <w:keepNext/>
        <w:keepLines/>
        <w:pageBreakBefore w:val="0"/>
        <w:widowControl w:val="0"/>
        <w:numPr>
          <w:ilvl w:val="1"/>
          <w:numId w:val="5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  <w:lang w:val="en-US" w:eastAsia="zh-CN"/>
        </w:rPr>
        <w:t>润色与AI审稿</w:t>
      </w:r>
    </w:p>
    <w:p w14:paraId="07F14D3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实验背景</w:t>
      </w:r>
    </w:p>
    <w:p w14:paraId="79741C0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时事政策不断调整变化，如何从海量政策中抓住与科研方向相关的政策，需要将理论分析与实际政策紧密结合，确保建议的可行性和实用性，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政策涉及多方利益，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还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</w:rPr>
        <w:t>需要考虑不同利益相关者的诉求和政策的长远影响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eastAsia="zh-CN"/>
        </w:rPr>
        <w:t>，</w:t>
      </w:r>
      <w:r>
        <w:rPr>
          <w:rFonts w:hint="eastAsia" w:ascii="宋体" w:hAnsi="宋体" w:eastAsia="宋体" w:cs="宋体"/>
          <w:i w:val="0"/>
          <w:iCs w:val="0"/>
          <w:caps w:val="0"/>
          <w:color w:val="060607"/>
          <w:spacing w:val="4"/>
          <w:sz w:val="21"/>
          <w:szCs w:val="21"/>
          <w:shd w:val="clear" w:color="auto" w:fill="FFFFFF"/>
          <w:lang w:val="en-US" w:eastAsia="zh-CN"/>
        </w:rPr>
        <w:t>这不仅需要保留对政策的敏感度，还需要精准发力，总结相关政策。</w:t>
      </w:r>
    </w:p>
    <w:p w14:paraId="06CE5E46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实验内容</w:t>
      </w:r>
    </w:p>
    <w:p w14:paraId="21B66AD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8  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润色与AI审稿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7B43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090FED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1309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3B128F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9098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3F7C48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225D23BA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cs="宋体"/>
                <w:sz w:val="18"/>
                <w:szCs w:val="18"/>
                <w:lang w:eastAsia="zh-CN" w:bidi="ar"/>
              </w:rPr>
              <w:t>润色与AI审稿</w:t>
            </w:r>
          </w:p>
          <w:p w14:paraId="717E15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3D44A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0F20D9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打开并登录国内AI平台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58A09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国内AI大模型</w:t>
            </w:r>
          </w:p>
        </w:tc>
      </w:tr>
      <w:tr w14:paraId="7263DA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2AB19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043FB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EA5C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5F84F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92796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6B5FAE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FCD8D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860A4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1CA4E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4EF4B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A987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154B8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0E62C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输入问答提示词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0EFD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2F219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1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E78C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8B865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E2AC5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整理给出时事政策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1FE49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5EA91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25E1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noWrap w:val="0"/>
            <w:vAlign w:val="center"/>
          </w:tcPr>
          <w:p w14:paraId="00F912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09A9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总结各时事政策，给出切题的</w:t>
            </w: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润色与AI审稿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1D80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4B7A8AF4">
      <w:pPr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实验流程（工作程序）</w:t>
      </w:r>
    </w:p>
    <w:p w14:paraId="3ABBB925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</w:rPr>
      </w:pPr>
      <w:r>
        <w:rPr>
          <w:rFonts w:hint="eastAsia" w:ascii="宋体" w:hAnsi="宋体" w:eastAsia="宋体" w:cs="宋体"/>
          <w:sz w:val="21"/>
          <w:szCs w:val="21"/>
        </w:rPr>
        <w:t>了解实验背景、实验目标</w:t>
      </w:r>
    </w:p>
    <w:p w14:paraId="1D8FA269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打开并登录国内AI平台</w:t>
      </w:r>
    </w:p>
    <w:p w14:paraId="107371E2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输入问答提示词</w:t>
      </w:r>
    </w:p>
    <w:p w14:paraId="2603C624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整理总结论文相关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润色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内容</w:t>
      </w:r>
    </w:p>
    <w:p w14:paraId="208054FA">
      <w:pPr>
        <w:pageBreakBefore w:val="0"/>
        <w:widowControl w:val="0"/>
        <w:numPr>
          <w:ilvl w:val="0"/>
          <w:numId w:val="15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2"/>
        <w:textAlignment w:val="auto"/>
        <w:rPr>
          <w:rFonts w:hint="eastAsia" w:ascii="宋体" w:hAnsi="宋体" w:eastAsia="宋体" w:cs="宋体"/>
          <w:b/>
          <w:sz w:val="21"/>
          <w:szCs w:val="21"/>
        </w:rPr>
      </w:pPr>
      <w:r>
        <w:rPr>
          <w:rFonts w:hint="eastAsia" w:ascii="宋体" w:hAnsi="宋体" w:eastAsia="宋体" w:cs="宋体"/>
          <w:b/>
          <w:sz w:val="21"/>
          <w:szCs w:val="21"/>
        </w:rPr>
        <w:t>实验成果</w:t>
      </w:r>
    </w:p>
    <w:p w14:paraId="791C6057">
      <w:pPr>
        <w:pageBreakBefore w:val="0"/>
        <w:widowControl w:val="0"/>
        <w:numPr>
          <w:ilvl w:val="0"/>
          <w:numId w:val="8"/>
        </w:numPr>
        <w:tabs>
          <w:tab w:val="left" w:pos="0"/>
          <w:tab w:val="left" w:pos="846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846" w:right="0" w:firstLineChars="0"/>
        <w:textAlignment w:val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总结各时事政策，给出切题的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润色与AI审稿</w:t>
      </w:r>
    </w:p>
    <w:bookmarkEnd w:id="11"/>
    <w:bookmarkEnd w:id="12"/>
    <w:p w14:paraId="328852D6">
      <w:pPr>
        <w:pStyle w:val="4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03" w:firstLineChars="0"/>
        <w:textAlignment w:val="auto"/>
        <w:outlineLvl w:val="1"/>
        <w:rPr>
          <w:rFonts w:hint="eastAsia" w:ascii="宋体" w:hAnsi="宋体" w:eastAsia="宋体" w:cs="宋体"/>
          <w:sz w:val="24"/>
        </w:rPr>
      </w:pPr>
      <w:bookmarkStart w:id="31" w:name="_Toc31634"/>
      <w:r>
        <w:rPr>
          <w:rFonts w:hint="eastAsia" w:ascii="宋体" w:hAnsi="宋体" w:eastAsia="宋体" w:cs="宋体"/>
          <w:sz w:val="24"/>
          <w:lang w:val="en-US" w:eastAsia="zh-CN"/>
        </w:rPr>
        <w:t>AI经济建模教学</w:t>
      </w:r>
      <w:r>
        <w:rPr>
          <w:rFonts w:hint="eastAsia" w:ascii="宋体" w:hAnsi="宋体" w:cs="宋体"/>
          <w:sz w:val="24"/>
          <w:lang w:val="en-US" w:eastAsia="zh-CN"/>
        </w:rPr>
        <w:t>平台案例简介</w:t>
      </w:r>
      <w:bookmarkEnd w:id="31"/>
    </w:p>
    <w:p w14:paraId="7BBF9C5B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2" w:name="_Toc18820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双重差分模型（腾笼换鸟的房价效应：以老工业区搬迁改造为例）</w:t>
      </w:r>
      <w:bookmarkEnd w:id="32"/>
    </w:p>
    <w:p w14:paraId="3BEC859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709D847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760BD33F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noWrap w:val="0"/>
            <w:vAlign w:val="center"/>
          </w:tcPr>
          <w:p w14:paraId="35BFA16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noWrap w:val="0"/>
            <w:vAlign w:val="center"/>
          </w:tcPr>
          <w:p w14:paraId="1AB9AF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509BA7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noWrap w:val="0"/>
            <w:vAlign w:val="center"/>
          </w:tcPr>
          <w:p w14:paraId="0A82871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noWrap w:val="0"/>
            <w:vAlign w:val="center"/>
          </w:tcPr>
          <w:p w14:paraId="4330BF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学时，实践教学4学时，总计8学时。</w:t>
            </w:r>
          </w:p>
        </w:tc>
      </w:tr>
      <w:tr w14:paraId="2910527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897" w:type="pct"/>
            <w:noWrap w:val="0"/>
            <w:vAlign w:val="center"/>
          </w:tcPr>
          <w:p w14:paraId="26E814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noWrap w:val="0"/>
            <w:vAlign w:val="center"/>
          </w:tcPr>
          <w:p w14:paraId="650752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，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5EF665C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1F2903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noWrap w:val="0"/>
            <w:vAlign w:val="center"/>
          </w:tcPr>
          <w:p w14:paraId="705F25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default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高效掌握双重差分模型建模技巧与论文写作技巧</w:t>
            </w:r>
          </w:p>
        </w:tc>
      </w:tr>
      <w:tr w14:paraId="09FFF71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7754D0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default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4102" w:type="pct"/>
            <w:noWrap w:val="0"/>
            <w:vAlign w:val="center"/>
          </w:tcPr>
          <w:p w14:paraId="04E859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腾笼换鸟的房价效应：以老工业区搬迁改造为例</w:t>
            </w:r>
          </w:p>
        </w:tc>
      </w:tr>
    </w:tbl>
    <w:p w14:paraId="20B7DA6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重差分模型（Difference-in-Differences，DID）是一种广泛应用于因果推断的计量经济学方法，主要用于评估政策、事件或干预措施的效果。其核心思想是通过比较处理组和对照组在政策实施前后的变化差异，来识别因果关系。</w:t>
      </w:r>
      <w:r>
        <w:rPr>
          <w:rFonts w:hint="eastAsia" w:ascii="宋体" w:hAnsi="宋体" w:cs="宋体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公共卫生干预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教育政策与项目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经济冲击研究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市场营销与商业策略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社会福利项目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34345D5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使用DID的前提条件与注意事项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0899274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平行趋势假设：处理组和对照组在政策实施前的趋势需保持一致。</w:t>
      </w:r>
    </w:p>
    <w:p w14:paraId="23E775A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外生性：政策实施或干预的分配与结果变量无关（无选择性偏差）。</w:t>
      </w:r>
    </w:p>
    <w:p w14:paraId="402D08C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无溢出效应：处理组的行为变化不会直接影响对照组。</w:t>
      </w:r>
    </w:p>
    <w:p w14:paraId="738B708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若平行趋势不成立，需结合其他方法（如合成控制法、事件研究法）。</w:t>
      </w:r>
    </w:p>
    <w:p w14:paraId="2AA7665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需控制其他混杂变量（如经济周期、人口结构变化）以提高估计准确性。</w:t>
      </w:r>
    </w:p>
    <w:p w14:paraId="4DFD982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DID的优势在于利用自然实验设计，规避内生性问题，因此在社会科学、医学、经济学等领域被广泛采用。实际应用中需严谨检验模型假设，并结合具体背景解读结果。</w:t>
      </w:r>
    </w:p>
    <w:p w14:paraId="719FAAE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586C57C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2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 xml:space="preserve">  双重差分模型（腾笼换鸟的房价效应：以老工业区搬迁改造为例）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0B53C7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15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66B509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990A3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724CB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11B447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8DAB8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4B52C1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双重差分模型（腾笼换鸟的房价效应：以老工业区搬迁改造为例）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094685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6A3C342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E83AA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6A4971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C70E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D9C3F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EA5B4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EFA94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B7F9E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57FC8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CAD1D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4C6CB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B1747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E6F2A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2B53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30FE9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BBD4C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任务1：基准回归结果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9C6B5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24910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9D58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A85D3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EE87B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任务2：房价断点效应实证结果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CFF296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B3C5B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0034F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1AE79B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38F89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任务3：稳健性检验结果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7B97C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9BA86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9DF52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C54C41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44D14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任务4：随机抽样结果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923BF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855F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CD9CD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20230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44E8F7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任务5：平行趋势检验结果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A4D9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A99D1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307B6E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FEF8B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A3538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任务6：空间异质性检验结果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8308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488A8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4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E7EFA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A602D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9F1F7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任务7：潜在机制回归结果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5ACD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2702A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963F3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F6157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8E598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任务8：房租效应、挂牌价格变化实证结果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0D285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96D38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386CA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85E7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74448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任务9：附录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FC5B0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2CA12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F96AD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8DF17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2FBF2C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7C83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F5B0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CBF93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bookmarkStart w:id="33" w:name="_Toc26033"/>
          </w:p>
        </w:tc>
        <w:tc>
          <w:tcPr>
            <w:tcW w:w="1240" w:type="dxa"/>
            <w:vMerge w:val="continue"/>
            <w:noWrap w:val="0"/>
            <w:vAlign w:val="center"/>
          </w:tcPr>
          <w:p w14:paraId="74F2CA1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F780C5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D30DB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13ADE0A1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渐进双重差分模型（制度创新、营商环境与城市创业活力—来自中国自由贸易试验区的证据）</w:t>
      </w:r>
      <w:bookmarkEnd w:id="33"/>
    </w:p>
    <w:p w14:paraId="13FA7A42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04A390F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3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1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2"/>
        <w:gridCol w:w="7009"/>
      </w:tblGrid>
      <w:tr w14:paraId="7D4D5342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897" w:type="pct"/>
            <w:noWrap w:val="0"/>
            <w:vAlign w:val="center"/>
          </w:tcPr>
          <w:p w14:paraId="34F54A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4102" w:type="pct"/>
            <w:noWrap w:val="0"/>
            <w:vAlign w:val="center"/>
          </w:tcPr>
          <w:p w14:paraId="6E2639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5E3EC42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897" w:type="pct"/>
            <w:noWrap w:val="0"/>
            <w:vAlign w:val="center"/>
          </w:tcPr>
          <w:p w14:paraId="4FDAFA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4102" w:type="pct"/>
            <w:noWrap w:val="0"/>
            <w:vAlign w:val="center"/>
          </w:tcPr>
          <w:p w14:paraId="16369F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7C23A6C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897" w:type="pct"/>
            <w:noWrap w:val="0"/>
            <w:vAlign w:val="center"/>
          </w:tcPr>
          <w:p w14:paraId="67E4ED0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4102" w:type="pct"/>
            <w:noWrap w:val="0"/>
            <w:vAlign w:val="center"/>
          </w:tcPr>
          <w:p w14:paraId="1EDF42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hAnsi="宋体" w:cs="宋体"/>
                <w:sz w:val="18"/>
                <w:szCs w:val="18"/>
              </w:rPr>
              <w:t>份实训指导书、1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0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3F11212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noWrap w:val="0"/>
            <w:vAlign w:val="center"/>
          </w:tcPr>
          <w:p w14:paraId="10B198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4102" w:type="pct"/>
            <w:noWrap w:val="0"/>
            <w:vAlign w:val="center"/>
          </w:tcPr>
          <w:p w14:paraId="4F3A34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高效掌握渐进双重差分模型建模技巧与论文写作技巧</w:t>
            </w:r>
          </w:p>
        </w:tc>
      </w:tr>
      <w:tr w14:paraId="61B4848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897" w:type="pct"/>
            <w:shd w:val="clear" w:color="auto" w:fill="auto"/>
            <w:noWrap w:val="0"/>
            <w:vAlign w:val="center"/>
          </w:tcPr>
          <w:p w14:paraId="0DE83A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4102" w:type="pct"/>
            <w:shd w:val="clear" w:color="auto" w:fill="auto"/>
            <w:noWrap w:val="0"/>
            <w:vAlign w:val="center"/>
          </w:tcPr>
          <w:p w14:paraId="4D451E0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"/>
              </w:rPr>
              <w:t>制度创新、营商环境与城市创业活力—来自中国自由贸易试验区的证据</w:t>
            </w:r>
          </w:p>
        </w:tc>
      </w:tr>
    </w:tbl>
    <w:p w14:paraId="05C452A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渐进双重差分模型（Staggered Difference-in-Differences，或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 多期DID、异时DID）是传统双重差分模型（DID）的扩展，适用于处理组个体（如地区、企业、个人）在不同时间点接受政策干预的场景。其核心是处理组接受干预的时点不同，且可能存在动态处理效应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。可应用于动态政策效果评估、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处理组在不同时间加入干预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长期政策效果的追踪研究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b w:val="0"/>
          <w:kern w:val="2"/>
          <w:sz w:val="21"/>
          <w:szCs w:val="21"/>
          <w:lang w:val="en-US" w:eastAsia="zh-CN" w:bidi="ar-SA"/>
        </w:rPr>
        <w:t>政策调整或终止后的效果分析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</w:t>
      </w:r>
      <w:r>
        <w:rPr>
          <w:rFonts w:hint="default" w:ascii="宋体" w:hAnsi="宋体" w:eastAsia="宋体" w:cs="宋体"/>
          <w:b w:val="0"/>
          <w:kern w:val="2"/>
          <w:sz w:val="21"/>
          <w:szCs w:val="21"/>
          <w:lang w:val="en-US" w:eastAsia="zh-CN" w:bidi="ar-SA"/>
        </w:rPr>
        <w:t>技术扩散或市场行为研究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分批次、分阶段推广的政策评估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2484B2D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渐进DID的前提条件与注意事项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6996F92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平行趋势假设：在未接受干预时，处理组和对照组的潜在结果趋势应一致。</w:t>
      </w:r>
    </w:p>
    <w:p w14:paraId="5A68A55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无预期效应：处理组个体在政策实施前不会因预期政策而改变行为。</w:t>
      </w:r>
    </w:p>
    <w:p w14:paraId="63A9A7C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处理状态的单向性：一旦个体进入处理组，通常不再退出（如政策不可逆）。</w:t>
      </w:r>
    </w:p>
    <w:p w14:paraId="59D7E46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异质性处理效应：不同时间点接受干预的处理组可能存在效果差异，需通过事件研究法（Event Study）或异质性分析检验。</w:t>
      </w:r>
    </w:p>
    <w:p w14:paraId="5E72DF5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控制变量：需加入时间固定效应（控制时间趋势）和个体固定效应（控制个体差异）。</w:t>
      </w:r>
    </w:p>
    <w:p w14:paraId="71365A2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重叠期处理：某些个体可能在研究期内既作为处理组又作为对照组，需谨慎处理样本选择。</w:t>
      </w:r>
    </w:p>
    <w:p w14:paraId="63F7E87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渐进DID适用于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政策干预时间点分散、动态效应显著的场景，能更灵活地捕捉政策效果的异质性和时变性。在实证中需特别注意平行趋势检验和动态效应可视化（如绘制政策前后效果变化图）</w:t>
      </w:r>
    </w:p>
    <w:p w14:paraId="66463CCC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197E8B1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4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渐进双重差分模型（制度创新、营商环境与城市创业活力——来自中国自由贸易试验区的证据）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58439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3B45108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BD975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045DD5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495ACB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24F15E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2C1A66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渐进双重差分模型（制度创新、营商环境与城市创业活力—来自中国自由贸易试验区的证据）</w:t>
            </w:r>
          </w:p>
          <w:p w14:paraId="37999E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2D0AEF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C2D8A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1976110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046235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23E551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B993C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D30D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6B284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5C76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3D837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909B8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3F3093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EEC247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DFA6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7BE76A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FBD5B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9A9F62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3C2A01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研究设计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D7E69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47720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CD13C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AAA39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66F1A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房价断点效应实证结果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1A6B4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5A11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2B79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16574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D5078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实证方法—DIDM方法适用的问题类型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9336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3ECD1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BCA7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56209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31EF51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实证方法—DIDM方法的优点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B8CD0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F50FF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7C6FA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55208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B42DE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实证方法—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是否满足DIDM方法的前提假设？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207587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30D2C7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F02D2D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914D1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EF0CE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实证结果分析—DIDM方法应做哪些稳健性检验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18166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F4144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E46C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878268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2B648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实证结果分析—调节效应回归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909406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619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78DB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2FABE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ED63C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实证结果分析—机制分析回归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145F5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7EE50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92E33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FCC48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D3D43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异质性分析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4751C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1C62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88125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213942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3F244F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39363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B869E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1CE5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ADB7E1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18AE94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渐进双重差分模型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7837F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A56733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4" w:name="_Toc2513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双向固定效应模型（数字化转型如何影响劳动技能溢价—基于A股上市公司数据的经验研究）</w:t>
      </w:r>
      <w:bookmarkEnd w:id="34"/>
    </w:p>
    <w:p w14:paraId="10F133C1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10616F6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5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165E64C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450583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552DA1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460D73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6719F5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7E5C8A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1C2BACED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66F39F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77DD11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16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hAnsi="宋体" w:cs="宋体"/>
                <w:sz w:val="18"/>
                <w:szCs w:val="18"/>
              </w:rPr>
              <w:t>个案例视频、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8398DE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AAEAC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74CD6B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高效掌握双向固定效应模型建模技巧与论文写作技巧</w:t>
            </w:r>
          </w:p>
        </w:tc>
      </w:tr>
      <w:tr w14:paraId="285F167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D9CC5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D612F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数字化转型如何影响劳动技能溢价——基于A股上市公司数据的经验研究</w:t>
            </w:r>
          </w:p>
        </w:tc>
      </w:tr>
    </w:tbl>
    <w:p w14:paraId="4C1BA0C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双向固定效应模型（Two-Way Fixed Effects Model）是一种广泛应用于面板数据分析的计量方法，通过同时控制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个体固定效应（如企业、地区、个人）和时间固定效应（如年份、季度），以消除不随时间变化的个体异质性和不随个体变化的宏观时间趋势，从而提高因果推断的准确性。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可应用于控制不可观测的异质性、因果推断中的混杂因素控制、多期双重差分（DID）的基础框架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、动态面板数据建模</w:t>
      </w:r>
      <w:r>
        <w:rPr>
          <w:rFonts w:hint="eastAsia" w:ascii="宋体" w:hAnsi="宋体" w:cs="宋体"/>
          <w:b w:val="0"/>
          <w:kern w:val="2"/>
          <w:sz w:val="21"/>
          <w:szCs w:val="21"/>
          <w:lang w:val="en-US" w:eastAsia="zh-CN" w:bidi="ar-SA"/>
        </w:rPr>
        <w:t>、异质性效应分析、微观实证研究</w:t>
      </w:r>
      <w:r>
        <w:rPr>
          <w:rFonts w:hint="eastAsia" w:ascii="宋体" w:hAnsi="宋体" w:cs="宋体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。</w:t>
      </w:r>
    </w:p>
    <w:p w14:paraId="58EA12A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</w:t>
      </w:r>
      <w:r>
        <w:rPr>
          <w:rFonts w:hint="eastAsia" w:ascii="宋体" w:hAnsi="宋体" w:cs="宋体"/>
          <w:sz w:val="21"/>
          <w:szCs w:val="21"/>
          <w:lang w:val="en-US" w:eastAsia="zh-CN"/>
        </w:rPr>
        <w:t>模型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的前提条件与注意事项</w:t>
      </w:r>
      <w:r>
        <w:rPr>
          <w:rFonts w:hint="eastAsia" w:ascii="宋体" w:hAnsi="宋体" w:cs="宋体"/>
          <w:sz w:val="21"/>
          <w:szCs w:val="21"/>
          <w:lang w:val="en-US" w:eastAsia="zh-CN"/>
        </w:rPr>
        <w:t>：</w:t>
      </w:r>
    </w:p>
    <w:p w14:paraId="57D9462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严格的外生性假设：解释变量需与误差项无关（如不存在反向因果或遗漏变量）。</w:t>
      </w:r>
    </w:p>
    <w:p w14:paraId="79BADF9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线性关系假设：模型默认变量间为线性关系，非线性场景需谨慎。</w:t>
      </w:r>
    </w:p>
    <w:p w14:paraId="6C62CF2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固定效应与随机效应选择：若个体/时间效应与解释变量相关，需使用固定效应而非随机效应。</w:t>
      </w:r>
    </w:p>
    <w:p w14:paraId="54B6130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样本量要求：需足够多的个体和时间维度，否则可能产生过拟合或共线性问题。</w:t>
      </w:r>
    </w:p>
    <w:p w14:paraId="7F6969A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双向固定效应模型是面板数据分析的“瑞士军刀”，适用于需要同时剥离个体差异和时间趋势的场景，尤其在以下情况中表现突出：</w:t>
      </w:r>
    </w:p>
    <w:p w14:paraId="4ED6ACB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数据存在不可观测的个体/时间异质性；</w:t>
      </w:r>
    </w:p>
    <w:p w14:paraId="1284448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需进行因果推断但无法随机分组（如政策评估、社会科学实证）；</w:t>
      </w:r>
    </w:p>
    <w:p w14:paraId="1A3A53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研究动态效应或异质性影响。</w:t>
      </w:r>
    </w:p>
    <w:p w14:paraId="3DEA346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4855E39C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6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双向固定效应模型（数字化转型如何影响劳动技能溢价—基于A股上市公司数据的经验研究）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52FE18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533E52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29180F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33231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92C81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4BE91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4CEA77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34F8729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双向固定效应模型（数字化转型如何影响劳动技能溢价—基于A股上市公司数据的经验研究）</w:t>
            </w:r>
          </w:p>
          <w:p w14:paraId="7CFB74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0F1C04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3C6F3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09FBEA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82CAB5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1356C1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6AB5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AEF41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83588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CE5375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79380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1AF29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54DA7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E7948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4D2E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AB7F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C28D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4CEB62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步骤</w:t>
            </w:r>
          </w:p>
        </w:tc>
        <w:tc>
          <w:tcPr>
            <w:tcW w:w="5058" w:type="dxa"/>
            <w:noWrap w:val="0"/>
            <w:vAlign w:val="center"/>
          </w:tcPr>
          <w:p w14:paraId="2794010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任务1：劳动技能溢价变动趋势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8706B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63110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F31D3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4B512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4A21C3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任务2：要素密集型行业技能溢价的变动趋势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1067B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D443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B90C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7651E2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26C32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基本回归结果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A33F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E157C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C97C7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44664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BF43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工具变量回归结果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822C3F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5E3E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72CC9A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B649D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F96D1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异质性分析回归结果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B829A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90D1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2D7D6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758D1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C521B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机制检验回归结果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1C921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A312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5D193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C38737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89EEA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“技能挤出”效应检验回归结果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D55FC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22159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D140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409BF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06CC7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资本—技能互补性的回归结果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4BD0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013A1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6FF35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ACAC7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CDD8AC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主要变量描述性统计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B5ED4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9AF98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9EE36F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DB75F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CB7AA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利用可观测变量评估未观测变量的偏差程度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9F5B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D93C3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474E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DACCE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60EE3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更换估计方法回归结果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69AC9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0F7D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085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8B450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ADBE9D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2：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更换核心变量回归结果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5DC69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B245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6DCEB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A6B38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CE2B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排除其他政策性干扰回归结果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59642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B5A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BB16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01B8E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9986CD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排除企业夸大性信息披露影响回归结果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953F5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707A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8F94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EDAB94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13D2C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数字化关键词均值统计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44C14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5857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4DCB96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4FF2E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286A9B3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9CB15E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0AD40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29B2E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72907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A8D1F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双向固定效应模型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F8FAD7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E8F4DCF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5" w:name="_Toc21356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交叠双重差分模型（产能过剩与环境规制相机选择—基于正式与非正式环境规制视角）</w:t>
      </w:r>
      <w:bookmarkEnd w:id="35"/>
    </w:p>
    <w:p w14:paraId="7AF4604B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7D5DC75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7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3B3CD99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1A790E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0410B0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A4295E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00C8A3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353AC1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hAnsi="宋体" w:cs="宋体"/>
                <w:sz w:val="18"/>
                <w:szCs w:val="18"/>
              </w:rPr>
              <w:t>学时，实践教学4学时，总计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hAnsi="宋体" w:cs="宋体"/>
                <w:sz w:val="18"/>
                <w:szCs w:val="18"/>
              </w:rPr>
              <w:t>学时。</w:t>
            </w:r>
          </w:p>
        </w:tc>
      </w:tr>
      <w:tr w14:paraId="7F0A2306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1ED4FD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44EDAC0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79E4367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1F5D0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899FE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高效掌握交叠双重差分模型建模技巧与论文写作技巧</w:t>
            </w:r>
          </w:p>
        </w:tc>
      </w:tr>
      <w:tr w14:paraId="474DA5B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665E6B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521EE5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产能过剩与环境规制相机选择—基于正式与非正式环境规制视角</w:t>
            </w:r>
          </w:p>
        </w:tc>
      </w:tr>
    </w:tbl>
    <w:p w14:paraId="214ECF3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交叠双重差分模型（Staggered DiD）主要应用于处理时间在不同个体、地区或单位间存在差异的场景，其核心是解决传统双重差分模型（DiD）在处理时间交叠时的局限性。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可应用于分批次、分阶段推广的政策评估、动态政策效果评估、处理组在不同时间加入干预、长期政策效果的追踪研究、政策调整或终止后的效果分析、技术扩散或市场行为研究等</w:t>
      </w:r>
      <w:r>
        <w:rPr>
          <w:rFonts w:hint="default" w:ascii="宋体" w:hAnsi="宋体" w:eastAsia="宋体" w:cs="宋体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。</w:t>
      </w:r>
    </w:p>
    <w:p w14:paraId="4A55B86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交叠DID模型的前提条件与注意事项：</w:t>
      </w:r>
    </w:p>
    <w:p w14:paraId="7BD9271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平行趋势假设：在未接受干预时，处理组和对照组的潜在结果趋势应一致。</w:t>
      </w:r>
    </w:p>
    <w:p w14:paraId="6D0C026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无预期效应：处理组个体在政策实施前不会因预期政策而改变行为。</w:t>
      </w:r>
    </w:p>
    <w:p w14:paraId="4D595F8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处理状态的单向性：一旦个体进入处理组，通常不再退出（如政策不可逆）。</w:t>
      </w:r>
    </w:p>
    <w:p w14:paraId="10EB2FB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异质性处理效应：不同时间点接受干预的处理组可能存在效果差异，需通过事件研究法（Event Study）或异质性分析检验。</w:t>
      </w:r>
    </w:p>
    <w:p w14:paraId="64F80D67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控制变量：需加入时间固定效应（控制时间趋势）和个体固定效应（控制个体差异）。</w:t>
      </w:r>
    </w:p>
    <w:p w14:paraId="3C86359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重叠期处理：某些个体可能在研究期内既作为处理组又作为对照组，需谨慎处理样本选择。</w:t>
      </w:r>
    </w:p>
    <w:p w14:paraId="43F1467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交叠DiD适用于现实世界中政策或干预措施分阶段实施的场景，能够更灵活地捕捉异质性处理效应，但需谨慎处理模型假设和方法选择，以确保估计结果的可靠性。</w:t>
      </w:r>
    </w:p>
    <w:p w14:paraId="475ADC89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69C6BB63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8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交叠双重差分模型（产能过剩与环境规制相机选择—基于正式与非正式环境规制视角）</w:t>
      </w:r>
    </w:p>
    <w:tbl>
      <w:tblPr>
        <w:tblStyle w:val="1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19"/>
        <w:gridCol w:w="1117"/>
        <w:gridCol w:w="4621"/>
        <w:gridCol w:w="1165"/>
      </w:tblGrid>
      <w:tr w14:paraId="0D3A81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shd w:val="clear" w:color="auto" w:fill="E6E6E6"/>
            <w:noWrap w:val="0"/>
            <w:vAlign w:val="center"/>
          </w:tcPr>
          <w:p w14:paraId="250F14D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117" w:type="dxa"/>
            <w:shd w:val="clear" w:color="auto" w:fill="E6E6E6"/>
            <w:noWrap w:val="0"/>
            <w:vAlign w:val="center"/>
          </w:tcPr>
          <w:p w14:paraId="75DF08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4621" w:type="dxa"/>
            <w:shd w:val="clear" w:color="auto" w:fill="E6E6E6"/>
            <w:noWrap w:val="0"/>
            <w:vAlign w:val="center"/>
          </w:tcPr>
          <w:p w14:paraId="25FE184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0" w:type="auto"/>
            <w:shd w:val="clear" w:color="auto" w:fill="E6E6E6"/>
            <w:noWrap w:val="0"/>
            <w:vAlign w:val="center"/>
          </w:tcPr>
          <w:p w14:paraId="597B21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1AE98F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restart"/>
            <w:noWrap w:val="0"/>
            <w:vAlign w:val="center"/>
          </w:tcPr>
          <w:p w14:paraId="5DC4D1C4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交叠双重差分模型（产能过剩与环境规制相机选择—基于正式与非正式环境规制视角）</w:t>
            </w:r>
          </w:p>
        </w:tc>
        <w:tc>
          <w:tcPr>
            <w:tcW w:w="1117" w:type="dxa"/>
            <w:vMerge w:val="restart"/>
            <w:noWrap w:val="0"/>
            <w:vAlign w:val="center"/>
          </w:tcPr>
          <w:p w14:paraId="070F09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4621" w:type="dxa"/>
            <w:noWrap w:val="0"/>
            <w:vAlign w:val="center"/>
          </w:tcPr>
          <w:p w14:paraId="74F9DA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0" w:type="auto"/>
            <w:vMerge w:val="restart"/>
            <w:noWrap w:val="0"/>
            <w:vAlign w:val="center"/>
          </w:tcPr>
          <w:p w14:paraId="5E1EE8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2A1CCC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6FA16C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7D48A9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7CA405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5D53EB3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9802A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6F3647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7F98D7A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0508EF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1BB1D4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E2527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6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4DC880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restart"/>
            <w:noWrap w:val="0"/>
            <w:vAlign w:val="center"/>
          </w:tcPr>
          <w:p w14:paraId="30E3DF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实施步骤</w:t>
            </w:r>
          </w:p>
        </w:tc>
        <w:tc>
          <w:tcPr>
            <w:tcW w:w="4621" w:type="dxa"/>
            <w:noWrap w:val="0"/>
            <w:vAlign w:val="center"/>
          </w:tcPr>
          <w:p w14:paraId="1DB505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 w:val="18"/>
                <w:szCs w:val="18"/>
                <w:lang w:val="en-US" w:eastAsia="zh-CN"/>
              </w:rPr>
              <w:t>环境规制对企业环境与经济绩效的影响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60F802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A64B4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7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7D0B18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2D3FBD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75D9648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产能利用视角下环境规制对企业环境与经济绩效的影响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1E01BB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D0D2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2290CCE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restart"/>
            <w:noWrap w:val="0"/>
            <w:vAlign w:val="center"/>
          </w:tcPr>
          <w:p w14:paraId="28A3962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4621" w:type="dxa"/>
            <w:noWrap w:val="0"/>
            <w:vAlign w:val="center"/>
          </w:tcPr>
          <w:p w14:paraId="6A4385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32CB5B8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A0F14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619" w:type="dxa"/>
            <w:vMerge w:val="continue"/>
            <w:noWrap w:val="0"/>
            <w:vAlign w:val="center"/>
          </w:tcPr>
          <w:p w14:paraId="106D307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117" w:type="dxa"/>
            <w:vMerge w:val="continue"/>
            <w:noWrap w:val="0"/>
            <w:vAlign w:val="center"/>
          </w:tcPr>
          <w:p w14:paraId="11E528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4621" w:type="dxa"/>
            <w:noWrap w:val="0"/>
            <w:vAlign w:val="center"/>
          </w:tcPr>
          <w:p w14:paraId="28BCA8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交叠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0" w:type="auto"/>
            <w:vMerge w:val="continue"/>
            <w:noWrap w:val="0"/>
            <w:vAlign w:val="center"/>
          </w:tcPr>
          <w:p w14:paraId="41806A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18A790D0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6" w:name="_Toc13532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β收敛模型（共同富裕的测度与驱动机制研究）</w:t>
      </w:r>
      <w:bookmarkEnd w:id="36"/>
    </w:p>
    <w:p w14:paraId="7D08602A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696803C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9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7E2FDD9A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2498693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DCF69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86D22A0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62CB7A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2349E7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42D87079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1BCCF4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0D69235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1个案例视频、4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873007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65C5A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A7BC6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高效掌握β收敛模型建模技巧与论文写作技巧</w:t>
            </w:r>
          </w:p>
        </w:tc>
      </w:tr>
      <w:tr w14:paraId="18E02EF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6268E5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D1951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共同富裕的测度与驱动机制研究</w:t>
            </w:r>
          </w:p>
        </w:tc>
      </w:tr>
    </w:tbl>
    <w:p w14:paraId="5527BF3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区域经济均衡性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全球化与技术扩散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等场景，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30211AC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7815C3B6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10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β收敛模型（共同富裕的测度与驱动机制研究）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3D37FB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46DDE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85AB2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6DCA53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6543F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3044E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03FF2FE1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β收敛模型（共同富裕的测度与驱动机制研究）</w:t>
            </w:r>
          </w:p>
          <w:p w14:paraId="7B1178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E93C21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5E309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2FF9A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63D514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352D2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9F441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3790EC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05DD8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47C09C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7CDE36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C93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056A8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9476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95122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FE3E1B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610AE1F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0F92C45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任务1：各类收入β收敛检验结果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CA8F7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5D8B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48CB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83D3A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70CB68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任务2：各类基尼系数β收敛检验结果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4DF9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F3A7A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8F3E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040E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9B81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各类收入分阶段条件β收敛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CC68E9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E1B42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FACA5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555DB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C3DE99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稳健性检验：地级市层面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－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各类收入β收敛检验结果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08E4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ECBA3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F1829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0DD19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13992A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稳健性检验：调整后基尼系数的检验结果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541A9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4EC9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DA824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358CD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F4489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：使用CLDS计算的基尼系数的收敛性检验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8B470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3B3E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5D3D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AA117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A1C363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：数字普惠金融和传统金融的直接效应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D6ACC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64976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64DB5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99E71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CC71D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：条件β收敛检验结果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E1625F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86FCE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7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4AFC36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914B4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0C296E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ACACC7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D33AB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1A063B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49BDE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38232C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75DF0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20102BC3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7" w:name="_Toc30008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强度双重差分模型（生产性政府债务与城市创新力—基于中国城市面板数据的经验研究）</w:t>
      </w:r>
      <w:bookmarkEnd w:id="37"/>
    </w:p>
    <w:p w14:paraId="6CF5C2D7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457C141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11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113A5DAB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7EEA81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3EAE74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0BAE40C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51A04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667573D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3C3185E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38B329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285D4C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20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3个案例视频、2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70879AF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F2C3BE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377B29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高效掌握强度双重差分模型建模技巧与论文写作技巧</w:t>
            </w:r>
          </w:p>
        </w:tc>
      </w:tr>
      <w:tr w14:paraId="6FAFC8E5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50AD42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32292C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生产性政府债务与城市创新力—基于中国城市面板数据的经验研究</w:t>
            </w:r>
          </w:p>
        </w:tc>
      </w:tr>
    </w:tbl>
    <w:p w14:paraId="554EF2D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强度双重差分模型（Difference in Differences with Staggered Treatment Adoption, 简称DiD with Staggered Adoption）是一种统计方法，用于评估某一政策或处理效果对结果变量的影响，特别是在处理组和非处理组在不同时间点开始接受处理的情境下。</w:t>
      </w:r>
    </w:p>
    <w:p w14:paraId="136C0552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在使用强度双重差分模型时，研究者需要注意以下几点：</w:t>
      </w:r>
    </w:p>
    <w:p w14:paraId="68FF245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处理组和控制组的选择应尽可能满足平行趋势假设，即在没有处理的情况下，结果变量在处理组和控制组之间会有相同的趋势。</w:t>
      </w:r>
    </w:p>
    <w:p w14:paraId="7A618A3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处理实施的时间点在不同组之间应当是随机的或者外生的。</w:t>
      </w:r>
    </w:p>
    <w:p w14:paraId="20E79FF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需要控制其他可能影响结果变量的因素，以减少估计偏误。</w:t>
      </w:r>
    </w:p>
    <w:p w14:paraId="23D1DA50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通过强度双重差分模型，研究者可以在复杂的环境中较为准确地识别出处理的因果效应。</w:t>
      </w:r>
    </w:p>
    <w:p w14:paraId="191B8FDE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3E01B9C8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12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强度双重差分模型（生产性政府债务与城市创新力—基于中国城市面板数据的经验研究）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4FF1D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7DA6301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336F270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713608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6C2ADAF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7B3B53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028A8A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  <w:t>强度双重差分模型（生产性政府债务与城市创新力—基于中国城市面板数据的经验研究）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526CFE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AB634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5A3A82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3C2F85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85A7C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2A4814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5FA8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F66DD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2648C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A6B28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95013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20F41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7B5A4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6C9AA1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CF30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16A465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24BD0A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206AA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DD8A6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4FD3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E33BE7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8942C5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任务2：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地方政府债务与城市创新力（IV）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910AF0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A2BE0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9B4FB7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291823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5963A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机制检验结果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F7BBB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F1E4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A149A4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0CF167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5A00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机制检验的进一步分析结果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70129A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323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DF7F0E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5895E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08773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生产性地方政府债务对不同区域城市创新力的影响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99722D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92ED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E8D4AE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F390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8AD8E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生产性地方政府债务对城市创新力的影响差异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31E21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5F25C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2092F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2F7C09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1A9741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7: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2006—2014 年主要变量统计描述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DE82A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EE521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2F7B33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73CAD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5D2B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8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default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更换核心解释变量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FB4BD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50CB1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041F9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7EEED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FC1C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9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平行趋势检验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39DA8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C662B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9E0EB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C7E017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817EA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0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随机处理后系数估计值的分布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AEB5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011D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14D710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AD72D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53EC2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1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排除国家创新型城市的影响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82BC3E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3C84A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D5CE7A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43651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73B89F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更换数据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B6361E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60E74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A0C0A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73108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910C5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3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被解释变量前置一期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AF606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C2ECD5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5F5C7D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B091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12F5C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4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机制分析的稳健性检验（一）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06A09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4D6FA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C4A1B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9E117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0B3A2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5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机制分析的稳健性检验（二）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93B1B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66FD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537479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D956C3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BB81FB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6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机制分析的稳健性检验（三）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36B7C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415DA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A1753F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7B18C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DC240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7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城投债与城市创新力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4AC5F8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7455F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E2CE1B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CD4030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AA4C56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任务1</w:t>
            </w:r>
            <w:r>
              <w:rPr>
                <w:rFonts w:hint="eastAsia" w:hAnsi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8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：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地方政府债与城市创新力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58166D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882EF6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D97BB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03E842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7D3518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E42A0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7F340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7C940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59E53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D13AD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总结强度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双重差分模型建模技巧与论文写作技巧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912D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7E943F28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8" w:name="_Toc26573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面板门槛效应回归模型（“强省会”战略的创新效应研究）</w:t>
      </w:r>
      <w:bookmarkEnd w:id="38"/>
    </w:p>
    <w:p w14:paraId="1E07D98F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46C37ECE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13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223919E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5B2F7F7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4ABF4B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2649BE3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579AFC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2940311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6376D34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2CB901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3D33FB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2个案例视频、2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193F509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6F59586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179282F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高效掌握面板门槛效应回归模型建模技巧与论文写作技巧</w:t>
            </w:r>
          </w:p>
        </w:tc>
      </w:tr>
      <w:tr w14:paraId="55C30A1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3CAE1C4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329ACF4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“强省会”战略的创新效应研究</w:t>
            </w:r>
          </w:p>
        </w:tc>
      </w:tr>
    </w:tbl>
    <w:p w14:paraId="6AE49D1B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面板门槛效应回归模型（Panel Threshold Regression Model）是一种统计方法，它允许研究者探索变量之间的关系是否在某个未知点（门槛值）上发生变化。这种方法特别适用于当数据具有面板结构（即时间序列和横截面数据的结合）时，并且变量之间的关系可能依赖于某些内生阈值。</w:t>
      </w:r>
    </w:p>
    <w:p w14:paraId="6E429653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在使用面板门槛效应回归模型时，研究者需要注意以下几点：</w:t>
      </w:r>
    </w:p>
    <w:p w14:paraId="1F925405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确定门槛值的数量和位置，这通常需要通过数据驱动的方法来确定。</w:t>
      </w:r>
    </w:p>
    <w:p w14:paraId="5BAE957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验证门槛效应的存在性和显著性，通常通过门槛效应检验来完成。</w:t>
      </w:r>
    </w:p>
    <w:p w14:paraId="2E41B16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考虑模型的设定和门槛变量的选择，以确保门槛效应的估计是准确和可靠的。</w:t>
      </w:r>
    </w:p>
    <w:p w14:paraId="6F7E83E4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面板门槛效应回归模型为研究者提供了一种灵活的工具，可以更好地理解在不同条件下经济和社会现象的变化规律。</w:t>
      </w:r>
    </w:p>
    <w:p w14:paraId="276E68D4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案例背景</w:t>
      </w:r>
    </w:p>
    <w:p w14:paraId="0537AF26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14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面板门槛效应回归模型（“强省会”战略的创新效应研究）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084588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2CAD63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4E8D380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4E1EEC2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D4041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DA0A9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6B27E455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面板门槛效应回归模型（“强省会”战略的创新效应研究）</w:t>
            </w:r>
          </w:p>
        </w:tc>
        <w:tc>
          <w:tcPr>
            <w:tcW w:w="1240" w:type="dxa"/>
            <w:vMerge w:val="restart"/>
            <w:noWrap w:val="0"/>
            <w:vAlign w:val="center"/>
          </w:tcPr>
          <w:p w14:paraId="068F2A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16963D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01B27C5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77E805F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84B033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A3CDD9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64B5B5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4A09F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9219A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D91E9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C1220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D27EA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E83A3E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172E7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4EDF7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2B6C87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7FCB09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任务1：基础模型回归结果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411B47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0911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58E702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AA73D0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E40A6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任务2：工具变量回归结果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8C907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F1473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A5583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C45A3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DDF32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稳健性检验回归结果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D55D2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80650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8B704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30415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E1995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基于上市公司稳健性检验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485DA9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F7ED6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31C48C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9824F1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F56AC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异质性检验结果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2D798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BE3FD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BA939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9D0C70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D20354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：溢出效应检验结果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B9D97F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F73CD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D3C472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1B3EFC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AD89D4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：门槛数检验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44A2B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58E71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3815F9C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EB642B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61BEB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：门槛效应检验结果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E851F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9BDAB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BE41C2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8CB031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BEA790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：调节作用检验结果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B72AC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52D8D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FB8AEF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3A172F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18AC5D6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9A5E0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33015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613F7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640DB0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3FF1E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总结面板门槛效应回归模型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0A7B02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4990E9D4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39" w:name="_Toc4098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β收敛模型与空间计量模型（创新集群的“中心—外围结构”：技术互补与经济增长收敛性研究）</w:t>
      </w:r>
      <w:bookmarkEnd w:id="39"/>
    </w:p>
    <w:p w14:paraId="5B66F762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20B89E0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15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4C05DA03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63FAFB0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66E34F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64EC33B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0221653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6CF5A39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109F5A3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5B98FA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1E666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3个案例视频、3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4D74C4B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790AEF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569A9B6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高效掌握β收敛模型与空间计量模型建模技巧与论文写作技巧</w:t>
            </w:r>
          </w:p>
        </w:tc>
      </w:tr>
      <w:tr w14:paraId="77D79EE1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0D02E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10AE362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创新集群的“中心—外围结构”：技术互补与经济增长收敛性研究</w:t>
            </w:r>
          </w:p>
        </w:tc>
      </w:tr>
    </w:tbl>
    <w:p w14:paraId="47BBA31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β收敛模型（Beta Convergence Model）用于检验区域或经济体之间是否存在经济趋同（Convergence），即落后地区是否以更快速度增长，从而缩小与发达地区的差距。分为绝对β收敛和条件β收敛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,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区域经济均衡性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全球化与技术扩散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政策效果评估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等场景，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适用于研究区域或经济体之间的经济趋同性，回答“落后地区能否赶超发达地区”类问题，常用于区域经济学和发展经济学领域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22A6439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空间计量模型（Spatial Econometrics Model）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考虑地理或网络空间依赖性（如空间滞后、空间误差），分析经济变量之间的空间溢出效应或邻近效应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常见模型包括：空间滞后模型（SAR）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空间误差模型（SEM）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空间杜宾模型（SDM）。可应用于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区域经济溢出环境治理技术创新扩散公共政策评估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适用于分析地理或网络空间依赖性，揭示经济变量之间的空间溢出效应，广泛应用于区域经济、环境科学和公共政策评估。</w:t>
      </w:r>
    </w:p>
    <w:p w14:paraId="6BE4C07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通过结合这两种模型，可以更全面地分析区域经济差异及其空间互动关系，为政策制定提供科学依据</w:t>
      </w:r>
    </w:p>
    <w:p w14:paraId="68F3F31D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案例背景</w:t>
      </w:r>
    </w:p>
    <w:p w14:paraId="627730EB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16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β收敛模型与空间计量模型（创新集群的“中心—外围结构”：技术互补与经济增长收敛性研究）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3"/>
        <w:gridCol w:w="1052"/>
        <w:gridCol w:w="5058"/>
        <w:gridCol w:w="1356"/>
      </w:tblGrid>
      <w:tr w14:paraId="73D4A5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283" w:type="dxa"/>
            <w:shd w:val="clear" w:color="auto" w:fill="E6E6E6"/>
            <w:noWrap w:val="0"/>
            <w:vAlign w:val="center"/>
          </w:tcPr>
          <w:p w14:paraId="1CA118C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052" w:type="dxa"/>
            <w:shd w:val="clear" w:color="auto" w:fill="E6E6E6"/>
            <w:noWrap w:val="0"/>
            <w:vAlign w:val="center"/>
          </w:tcPr>
          <w:p w14:paraId="5D6636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762D07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5487C5D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65A39C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restart"/>
            <w:noWrap w:val="0"/>
            <w:vAlign w:val="center"/>
          </w:tcPr>
          <w:p w14:paraId="0F5483D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β收敛模型与空间计量模型（创新集群的“中心—外围结构”：技术互补与经济增长收敛性研究）</w:t>
            </w:r>
          </w:p>
        </w:tc>
        <w:tc>
          <w:tcPr>
            <w:tcW w:w="1052" w:type="dxa"/>
            <w:vMerge w:val="restart"/>
            <w:noWrap w:val="0"/>
            <w:vAlign w:val="center"/>
          </w:tcPr>
          <w:p w14:paraId="00868B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53075A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7246DB6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0BABC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237E3C0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64305FE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E2699A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DCB89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FBA30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3B7FD9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56A68E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AFA02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E479FE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28BD0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1E9952D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noWrap w:val="0"/>
            <w:vAlign w:val="center"/>
          </w:tcPr>
          <w:p w14:paraId="3EEE02A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实施步骤</w:t>
            </w:r>
          </w:p>
        </w:tc>
        <w:tc>
          <w:tcPr>
            <w:tcW w:w="5058" w:type="dxa"/>
            <w:noWrap w:val="0"/>
            <w:vAlign w:val="center"/>
          </w:tcPr>
          <w:p w14:paraId="74D69A8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任务1：互补性技术体系下的β收敛检验结果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0A275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3B0FF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6746A17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FC48E9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B9C546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任务2：20个创新集群的绝对β收敛检验结果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0A63EB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68D0D6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0D6BE9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F6248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D7605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20个创新集群的条件β收敛检验结果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6C3DA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C3296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7A42746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2486E6E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C1400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竞争性技术体系下的β收敛性检验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6CB1D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2AC39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22D35B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5B277A5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B0D4E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协同式创新影响创新集群中心—外围技术互补的检验结果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612B2F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5D7A62F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42898FF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restart"/>
            <w:noWrap w:val="0"/>
            <w:vAlign w:val="center"/>
          </w:tcPr>
          <w:p w14:paraId="3AB6926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EF70F5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F409A2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138975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283" w:type="dxa"/>
            <w:vMerge w:val="continue"/>
            <w:noWrap w:val="0"/>
            <w:vAlign w:val="center"/>
          </w:tcPr>
          <w:p w14:paraId="4D0ED83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052" w:type="dxa"/>
            <w:vMerge w:val="continue"/>
            <w:noWrap w:val="0"/>
            <w:vAlign w:val="center"/>
          </w:tcPr>
          <w:p w14:paraId="4A159A2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0E4CF41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</w:t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β收敛模型与空间计量模型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E031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0611B58A">
      <w:pPr>
        <w:pStyle w:val="6"/>
        <w:keepNext/>
        <w:keepLines/>
        <w:pageBreakBefore w:val="0"/>
        <w:widowControl w:val="0"/>
        <w:numPr>
          <w:ilvl w:val="1"/>
          <w:numId w:val="16"/>
        </w:numPr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left="0" w:right="0" w:firstLine="422" w:firstLineChars="200"/>
        <w:textAlignment w:val="auto"/>
        <w:outlineLvl w:val="2"/>
        <w:rPr>
          <w:rFonts w:hint="eastAsia" w:ascii="宋体" w:hAnsi="宋体" w:eastAsia="宋体" w:cs="宋体"/>
          <w:b/>
          <w:sz w:val="21"/>
          <w:szCs w:val="21"/>
          <w:lang w:val="en-US" w:eastAsia="zh-CN"/>
        </w:rPr>
      </w:pPr>
      <w:bookmarkStart w:id="40" w:name="_Toc1725"/>
      <w:r>
        <w:rPr>
          <w:rFonts w:hint="eastAsia" w:ascii="宋体" w:hAnsi="宋体" w:eastAsia="宋体" w:cs="宋体"/>
          <w:b/>
          <w:sz w:val="21"/>
          <w:szCs w:val="21"/>
          <w:lang w:val="en-US" w:eastAsia="zh-CN"/>
        </w:rPr>
        <w:t>合成控制法（大小城市合并与行政边界地区经济增长：基于机器学习算法的合成控制评估）</w:t>
      </w:r>
      <w:bookmarkEnd w:id="40"/>
    </w:p>
    <w:p w14:paraId="49546843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案例概述</w:t>
      </w:r>
    </w:p>
    <w:p w14:paraId="0F87F57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36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17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案例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概述</w:t>
      </w:r>
    </w:p>
    <w:tbl>
      <w:tblPr>
        <w:tblStyle w:val="21"/>
        <w:tblW w:w="5012" w:type="pct"/>
        <w:jc w:val="center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4"/>
        <w:gridCol w:w="7008"/>
      </w:tblGrid>
      <w:tr w14:paraId="5152C60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7" w:hRule="atLeast"/>
          <w:jc w:val="center"/>
        </w:trPr>
        <w:tc>
          <w:tcPr>
            <w:tcW w:w="1534" w:type="dxa"/>
            <w:noWrap w:val="0"/>
            <w:vAlign w:val="center"/>
          </w:tcPr>
          <w:p w14:paraId="0F27FB6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</w:t>
            </w:r>
          </w:p>
        </w:tc>
        <w:tc>
          <w:tcPr>
            <w:tcW w:w="7008" w:type="dxa"/>
            <w:noWrap w:val="0"/>
            <w:vAlign w:val="center"/>
          </w:tcPr>
          <w:p w14:paraId="4E2DD8B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b/>
                <w:bCs/>
                <w:sz w:val="18"/>
                <w:szCs w:val="18"/>
              </w:rPr>
            </w:pPr>
            <w:r>
              <w:rPr>
                <w:rFonts w:hint="eastAsia" w:hAnsi="宋体" w:cs="宋体"/>
                <w:b/>
                <w:bCs/>
                <w:sz w:val="18"/>
                <w:szCs w:val="18"/>
              </w:rPr>
              <w:t>模块内容</w:t>
            </w:r>
          </w:p>
        </w:tc>
      </w:tr>
      <w:tr w14:paraId="58F75E47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13FF51B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课时设置</w:t>
            </w:r>
          </w:p>
        </w:tc>
        <w:tc>
          <w:tcPr>
            <w:tcW w:w="7008" w:type="dxa"/>
            <w:noWrap w:val="0"/>
            <w:vAlign w:val="center"/>
          </w:tcPr>
          <w:p w14:paraId="3745665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both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理论教学4学时，实践教学4学时，总计8学时。</w:t>
            </w:r>
          </w:p>
        </w:tc>
      </w:tr>
      <w:tr w14:paraId="2D886BAE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6" w:hRule="atLeast"/>
          <w:jc w:val="center"/>
        </w:trPr>
        <w:tc>
          <w:tcPr>
            <w:tcW w:w="1534" w:type="dxa"/>
            <w:noWrap w:val="0"/>
            <w:vAlign w:val="center"/>
          </w:tcPr>
          <w:p w14:paraId="32FC1F9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案例资源</w:t>
            </w:r>
          </w:p>
        </w:tc>
        <w:tc>
          <w:tcPr>
            <w:tcW w:w="7008" w:type="dxa"/>
            <w:noWrap w:val="0"/>
            <w:vAlign w:val="center"/>
          </w:tcPr>
          <w:p w14:paraId="7212D09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包含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13</w:t>
            </w:r>
            <w:r>
              <w:rPr>
                <w:rFonts w:hint="eastAsia" w:hAnsi="宋体" w:cs="宋体"/>
                <w:sz w:val="18"/>
                <w:szCs w:val="18"/>
              </w:rPr>
              <w:t>份实训指导书、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1个案例视频、6</w:t>
            </w:r>
            <w:r>
              <w:rPr>
                <w:rFonts w:hint="eastAsia" w:hAnsi="宋体" w:cs="宋体"/>
                <w:sz w:val="18"/>
                <w:szCs w:val="18"/>
              </w:rPr>
              <w:t>份数据</w:t>
            </w:r>
            <w:r>
              <w:rPr>
                <w:rFonts w:hint="eastAsia" w:hAnsi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1份论文仿写设计报告模板</w:t>
            </w:r>
            <w:r>
              <w:rPr>
                <w:rFonts w:hint="eastAsia" w:hAnsi="宋体" w:cs="宋体"/>
                <w:sz w:val="18"/>
                <w:szCs w:val="18"/>
              </w:rPr>
              <w:t>。</w:t>
            </w:r>
          </w:p>
        </w:tc>
      </w:tr>
      <w:tr w14:paraId="0795F7D4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4" w:type="dxa"/>
            <w:noWrap w:val="0"/>
            <w:vAlign w:val="center"/>
          </w:tcPr>
          <w:p w14:paraId="2290DB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技能点</w:t>
            </w:r>
          </w:p>
        </w:tc>
        <w:tc>
          <w:tcPr>
            <w:tcW w:w="7008" w:type="dxa"/>
            <w:noWrap w:val="0"/>
            <w:vAlign w:val="center"/>
          </w:tcPr>
          <w:p w14:paraId="389F62B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高效掌握合成控制法建模技巧与论文写作技巧</w:t>
            </w:r>
          </w:p>
        </w:tc>
      </w:tr>
      <w:tr w14:paraId="5B15EB8C"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1534" w:type="dxa"/>
            <w:noWrap w:val="0"/>
            <w:vAlign w:val="center"/>
          </w:tcPr>
          <w:p w14:paraId="003F6BC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center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操作复现</w:t>
            </w:r>
          </w:p>
        </w:tc>
        <w:tc>
          <w:tcPr>
            <w:tcW w:w="7008" w:type="dxa"/>
            <w:noWrap w:val="0"/>
            <w:vAlign w:val="center"/>
          </w:tcPr>
          <w:p w14:paraId="2E439AC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jc w:val="left"/>
              <w:textAlignment w:val="auto"/>
              <w:rPr>
                <w:rFonts w:hint="eastAsia" w:hAnsi="宋体" w:cs="宋体"/>
                <w:sz w:val="18"/>
                <w:szCs w:val="18"/>
              </w:rPr>
            </w:pPr>
            <w:r>
              <w:rPr>
                <w:rFonts w:hint="eastAsia" w:hAnsi="宋体" w:cs="宋体"/>
                <w:sz w:val="18"/>
                <w:szCs w:val="18"/>
              </w:rPr>
              <w:t>大小城市合并与行政边界地区经济增长：基于机器学习算法的合成控制评估</w:t>
            </w:r>
          </w:p>
        </w:tc>
      </w:tr>
    </w:tbl>
    <w:p w14:paraId="1698645C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cs="宋体"/>
          <w:color w:val="auto"/>
          <w:sz w:val="21"/>
          <w:szCs w:val="21"/>
          <w:lang w:val="en-US" w:eastAsia="zh-CN"/>
        </w:rPr>
      </w:pP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合成控制法（Synthetic Control Method，SCM）是一种用于政策评估和因果推断的计量经济学方法，特别适用于小样本或单一处理单元（如一个国家、一个地区或一个企业）的场景。其核心思想是通过加权未受干预的对照组单元，构建一个“合成处理组”，以模拟处理组在干预前的趋势，从而估计政策干预的因果效应。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可应用于单一地区或国家的政策评估、小样本政策试点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、历史事件的经济影响、企业或行业层面的政策评估、公共卫生干预</w:t>
      </w:r>
      <w:r>
        <w:rPr>
          <w:rFonts w:hint="eastAsia" w:ascii="宋体" w:hAnsi="宋体" w:cs="宋体"/>
          <w:b w:val="0"/>
          <w:color w:val="auto"/>
          <w:kern w:val="2"/>
          <w:sz w:val="21"/>
          <w:szCs w:val="21"/>
          <w:lang w:val="en-US" w:eastAsia="zh-CN" w:bidi="ar-SA"/>
        </w:rPr>
        <w:t>、环境政策评估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等</w:t>
      </w:r>
      <w:r>
        <w:rPr>
          <w:rFonts w:hint="default" w:ascii="宋体" w:hAnsi="宋体" w:eastAsia="宋体" w:cs="宋体"/>
          <w:color w:val="auto"/>
          <w:sz w:val="21"/>
          <w:szCs w:val="21"/>
          <w:lang w:val="en-US" w:eastAsia="zh-CN"/>
        </w:rPr>
        <w:t>应用场景及相关案例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。</w:t>
      </w:r>
    </w:p>
    <w:p w14:paraId="003D3B9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/>
          <w:color w:val="auto"/>
          <w:lang w:val="en-US" w:eastAsia="zh-CN"/>
        </w:rPr>
      </w:pP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合成控制法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的前提条件与注意事项</w:t>
      </w:r>
      <w:r>
        <w:rPr>
          <w:rFonts w:hint="eastAsia" w:ascii="宋体" w:hAnsi="宋体" w:cs="宋体"/>
          <w:color w:val="auto"/>
          <w:sz w:val="21"/>
          <w:szCs w:val="21"/>
          <w:lang w:val="en-US" w:eastAsia="zh-CN"/>
        </w:rPr>
        <w:t>：</w:t>
      </w:r>
    </w:p>
    <w:p w14:paraId="06036CF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小样本适用性：特别适合处理单元极少（如单一国家、地区或企业）的场景。</w:t>
      </w:r>
    </w:p>
    <w:p w14:paraId="3D18580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透明性与可视化：通过构建合成对照组，直观展示处理组与合成组的趋势对比。</w:t>
      </w:r>
    </w:p>
    <w:p w14:paraId="0AD836C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灵活性：可结合多种控制变量和权重优化方法，提高估计精度。</w:t>
      </w:r>
    </w:p>
    <w:p w14:paraId="6C1CBFDA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数据要求：处理组和对照组在干预前的特征和趋势需高度相似；需要较长时间的面板数据（干预前后均有足够观测值）。</w:t>
      </w:r>
    </w:p>
    <w:p w14:paraId="0AF09BD1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假设检验：需进行安慰剂检验（Placebo Test）和排序检验（Permutation Test）以验证结果的稳健性。</w:t>
      </w:r>
    </w:p>
    <w:p w14:paraId="32E3D5BD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局限性：对数据质量要求较高，若对照组单元不足或特征差异过大，可能导致合成效果不佳。</w:t>
      </w:r>
    </w:p>
    <w:p w14:paraId="1B00FD36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420"/>
        <w:jc w:val="left"/>
        <w:textAlignment w:val="auto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合成控制法通过构建反事实单元来估计干预的因果效应，特别适用于那些难以找到相似对照组的场景。在实际应用中，需结合稳健性检验和经济理论，确保结果的可靠性和解释力。</w:t>
      </w:r>
    </w:p>
    <w:p w14:paraId="1905E5D0">
      <w:pPr>
        <w:pStyle w:val="7"/>
        <w:pageBreakBefore w:val="0"/>
        <w:widowControl w:val="0"/>
        <w:numPr>
          <w:ilvl w:val="2"/>
          <w:numId w:val="6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beforeLines="0" w:beforeAutospacing="0" w:after="0" w:afterLines="0" w:afterAutospacing="0" w:line="360" w:lineRule="auto"/>
        <w:ind w:right="0" w:firstLine="422"/>
        <w:textAlignment w:val="auto"/>
        <w:outlineLvl w:val="3"/>
        <w:rPr>
          <w:rFonts w:hint="eastAsia" w:ascii="宋体" w:hAnsi="宋体" w:eastAsia="宋体" w:cs="宋体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案例内容</w:t>
      </w:r>
    </w:p>
    <w:p w14:paraId="2C7F435B">
      <w:pPr>
        <w:pageBreakBefore w:val="0"/>
        <w:widowControl w:val="0"/>
        <w:tabs>
          <w:tab w:val="left" w:pos="1320"/>
        </w:tabs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Autospacing="0" w:afterAutospacing="0" w:line="360" w:lineRule="auto"/>
        <w:ind w:right="0" w:firstLine="0" w:firstLineChars="0"/>
        <w:jc w:val="center"/>
        <w:textAlignment w:val="auto"/>
        <w:rPr>
          <w:rFonts w:hint="eastAsia" w:ascii="宋体" w:hAnsi="宋体" w:eastAsia="宋体" w:cs="宋体"/>
          <w:sz w:val="18"/>
          <w:szCs w:val="18"/>
          <w:lang w:val="en-US" w:eastAsia="zh-CN" w:bidi="ar"/>
        </w:rPr>
      </w:pPr>
      <w:r>
        <w:rPr>
          <w:rFonts w:hint="eastAsia" w:ascii="宋体" w:hAnsi="宋体" w:eastAsia="宋体" w:cs="宋体"/>
          <w:sz w:val="18"/>
          <w:szCs w:val="18"/>
          <w:lang w:bidi="ar"/>
        </w:rPr>
        <w:t>表</w:t>
      </w:r>
      <w:r>
        <w:rPr>
          <w:rFonts w:hint="eastAsia" w:ascii="宋体" w:hAnsi="宋体" w:cs="宋体"/>
          <w:sz w:val="18"/>
          <w:szCs w:val="18"/>
          <w:lang w:val="en-US" w:eastAsia="zh-CN" w:bidi="ar"/>
        </w:rPr>
        <w:t>18</w:t>
      </w:r>
      <w:r>
        <w:rPr>
          <w:rFonts w:hint="eastAsia" w:ascii="宋体" w:hAnsi="宋体" w:eastAsia="宋体" w:cs="宋体"/>
          <w:sz w:val="18"/>
          <w:szCs w:val="18"/>
          <w:lang w:bidi="ar"/>
        </w:rPr>
        <w:t xml:space="preserve"> </w:t>
      </w:r>
      <w:r>
        <w:rPr>
          <w:rFonts w:hint="eastAsia" w:ascii="宋体" w:hAnsi="宋体" w:eastAsia="宋体" w:cs="宋体"/>
          <w:sz w:val="18"/>
          <w:szCs w:val="18"/>
          <w:lang w:val="en-US" w:eastAsia="zh-CN" w:bidi="ar"/>
        </w:rPr>
        <w:t>合成控制法（大小城市合并与行政边界地区经济增长：基于机器学习算法的合成控制评估）</w:t>
      </w:r>
    </w:p>
    <w:tbl>
      <w:tblPr>
        <w:tblStyle w:val="15"/>
        <w:tblW w:w="8749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95"/>
        <w:gridCol w:w="1240"/>
        <w:gridCol w:w="5058"/>
        <w:gridCol w:w="1356"/>
      </w:tblGrid>
      <w:tr w14:paraId="1AAF00D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tblHeader/>
          <w:jc w:val="center"/>
        </w:trPr>
        <w:tc>
          <w:tcPr>
            <w:tcW w:w="1095" w:type="dxa"/>
            <w:shd w:val="clear" w:color="auto" w:fill="E6E6E6"/>
            <w:noWrap w:val="0"/>
            <w:vAlign w:val="center"/>
          </w:tcPr>
          <w:p w14:paraId="55E3C7E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一级模块</w:t>
            </w:r>
          </w:p>
        </w:tc>
        <w:tc>
          <w:tcPr>
            <w:tcW w:w="1240" w:type="dxa"/>
            <w:shd w:val="clear" w:color="auto" w:fill="E6E6E6"/>
            <w:noWrap w:val="0"/>
            <w:vAlign w:val="center"/>
          </w:tcPr>
          <w:p w14:paraId="77E9BB5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二级模块</w:t>
            </w:r>
          </w:p>
        </w:tc>
        <w:tc>
          <w:tcPr>
            <w:tcW w:w="5058" w:type="dxa"/>
            <w:shd w:val="clear" w:color="auto" w:fill="E6E6E6"/>
            <w:noWrap w:val="0"/>
            <w:vAlign w:val="center"/>
          </w:tcPr>
          <w:p w14:paraId="7A22E54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实验项目名称</w:t>
            </w:r>
          </w:p>
        </w:tc>
        <w:tc>
          <w:tcPr>
            <w:tcW w:w="1356" w:type="dxa"/>
            <w:shd w:val="clear" w:color="auto" w:fill="E6E6E6"/>
            <w:noWrap w:val="0"/>
            <w:vAlign w:val="center"/>
          </w:tcPr>
          <w:p w14:paraId="30CC729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涉及平台</w:t>
            </w:r>
          </w:p>
        </w:tc>
      </w:tr>
      <w:tr w14:paraId="018B74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restart"/>
            <w:noWrap w:val="0"/>
            <w:vAlign w:val="center"/>
          </w:tcPr>
          <w:p w14:paraId="7CB144C8">
            <w:pPr>
              <w:pageBreakBefore w:val="0"/>
              <w:widowControl w:val="0"/>
              <w:tabs>
                <w:tab w:val="left" w:pos="1320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br w:type="textWrapping"/>
            </w:r>
            <w:r>
              <w:rPr>
                <w:rFonts w:hint="eastAsia" w:ascii="宋体" w:hAnsi="宋体" w:eastAsia="宋体" w:cs="宋体"/>
                <w:sz w:val="18"/>
                <w:szCs w:val="18"/>
                <w:lang w:bidi="ar"/>
              </w:rPr>
              <w:t>合成控制法（大小城市合并与行政边界地区经济增长：基于机器学习算法的合成控制评估）</w:t>
            </w:r>
          </w:p>
          <w:p w14:paraId="328C60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7A14532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  <w:p w14:paraId="451106F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02C5FF2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  <w:t>实验准备</w:t>
            </w:r>
          </w:p>
        </w:tc>
        <w:tc>
          <w:tcPr>
            <w:tcW w:w="5058" w:type="dxa"/>
            <w:noWrap w:val="0"/>
            <w:vAlign w:val="center"/>
          </w:tcPr>
          <w:p w14:paraId="3B3BCD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打开并登录平台学习案例相关理论知识</w:t>
            </w:r>
          </w:p>
        </w:tc>
        <w:tc>
          <w:tcPr>
            <w:tcW w:w="1356" w:type="dxa"/>
            <w:vMerge w:val="restart"/>
            <w:noWrap w:val="0"/>
            <w:vAlign w:val="center"/>
          </w:tcPr>
          <w:p w14:paraId="6D1BF2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AI经济建模教学平台</w:t>
            </w:r>
          </w:p>
        </w:tc>
      </w:tr>
      <w:tr w14:paraId="71050C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350B1C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5BF6541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C20984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准备案例相关数据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20B05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5A5A979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2157D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1CBE9D2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975ACB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left="0" w:leftChars="0" w:right="0" w:rightChars="0" w:firstLine="0" w:firstLineChars="0"/>
              <w:textAlignment w:val="auto"/>
              <w:rPr>
                <w:rFonts w:hint="eastAsia" w:ascii="宋体" w:hAnsi="宋体" w:eastAsia="宋体" w:cs="宋体"/>
                <w:color w:val="FF0000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准备仿写文档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10F2D59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</w:rPr>
            </w:pPr>
          </w:p>
        </w:tc>
      </w:tr>
      <w:tr w14:paraId="07893C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03AD9E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3D7D6D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实验实施步骤</w:t>
            </w:r>
          </w:p>
        </w:tc>
        <w:tc>
          <w:tcPr>
            <w:tcW w:w="5058" w:type="dxa"/>
            <w:noWrap w:val="0"/>
            <w:vAlign w:val="center"/>
          </w:tcPr>
          <w:p w14:paraId="515C0C2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任务1：济南莱芜边界地区与其他边界地区的灯光亮度随年分布变化图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D1FA9D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852A2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7C76D8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3FA15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159653E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任务2：基准模型结果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76F091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4297C3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2BA5C8A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67E83BD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BC7883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更换边界地区度量方式：绝对距离法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DD1DC6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C3B2C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4DC3B2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6F818507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1ABA04A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4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更换控制组为全国边界地区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2714CA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241692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3C14A4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11FB75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297B815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</w:t>
            </w:r>
            <w:r>
              <w:rPr>
                <w:rFonts w:hint="eastAsia" w:ascii="宋体" w:hAnsi="宋体" w:eastAsia="宋体" w:cs="宋体"/>
                <w:b w:val="0"/>
                <w:kern w:val="2"/>
                <w:sz w:val="18"/>
                <w:szCs w:val="18"/>
                <w:lang w:val="en-US" w:eastAsia="zh-CN" w:bidi="ar"/>
              </w:rPr>
              <w:t>Lasso算法下的政策效应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87356A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A9C6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62F36A8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534ECE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BF864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6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：安慰剂检验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7E8EEDF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A5B3F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951D6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D66BA7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47FD92E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7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：济南莱芜边界两侧灯光分别合成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04E3F68E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55C3A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C6B82E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3228C8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4B7AD4F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8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：济南和莱芜中心城区灯光分别合成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A5176F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B61A0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0D532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76CCB3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3A171D8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9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：样本外测试：2018年为测试集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4B271AB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C793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103C97F5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46DFF219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651813D1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10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：样本外测试：更换验证集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2007E432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30714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57BD0A8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26F70463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54ED652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任务</w:t>
            </w:r>
            <w:r>
              <w:rPr>
                <w:rFonts w:hint="eastAsia" w:hAnsi="宋体" w:cs="宋体"/>
                <w:sz w:val="18"/>
                <w:szCs w:val="18"/>
                <w:lang w:val="en-US" w:eastAsia="zh-CN"/>
              </w:rPr>
              <w:t>11</w:t>
            </w:r>
            <w:r>
              <w:rPr>
                <w:rFonts w:hint="eastAsia" w:ascii="宋体" w:hAnsi="宋体" w:eastAsia="宋体" w:cs="宋体"/>
                <w:sz w:val="18"/>
                <w:szCs w:val="18"/>
                <w:lang w:val="en-US" w:eastAsia="zh-CN"/>
              </w:rPr>
              <w:t>：长春和公主岭边界地区灯光分别合成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32F5B7C6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0FD3A9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412FC5B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noWrap w:val="0"/>
            <w:vAlign w:val="center"/>
          </w:tcPr>
          <w:p w14:paraId="702BE85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实验总结</w:t>
            </w:r>
          </w:p>
        </w:tc>
        <w:tc>
          <w:tcPr>
            <w:tcW w:w="5058" w:type="dxa"/>
            <w:noWrap w:val="0"/>
            <w:vAlign w:val="center"/>
          </w:tcPr>
          <w:p w14:paraId="6C5D72A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复现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完整案例及模型方法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0839784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B934B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0" w:hRule="atLeast"/>
          <w:jc w:val="center"/>
        </w:trPr>
        <w:tc>
          <w:tcPr>
            <w:tcW w:w="1095" w:type="dxa"/>
            <w:vMerge w:val="continue"/>
            <w:noWrap w:val="0"/>
            <w:vAlign w:val="center"/>
          </w:tcPr>
          <w:p w14:paraId="03B77A5C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1240" w:type="dxa"/>
            <w:vMerge w:val="continue"/>
            <w:noWrap w:val="0"/>
            <w:vAlign w:val="center"/>
          </w:tcPr>
          <w:p w14:paraId="04E73B30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5058" w:type="dxa"/>
            <w:noWrap w:val="0"/>
            <w:vAlign w:val="center"/>
          </w:tcPr>
          <w:p w14:paraId="7A88AEDB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textAlignment w:val="auto"/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</w:pPr>
            <w:r>
              <w:rPr>
                <w:rFonts w:hint="eastAsia" w:hAnsi="宋体" w:cs="宋体"/>
                <w:spacing w:val="10"/>
                <w:sz w:val="18"/>
                <w:szCs w:val="18"/>
                <w:lang w:val="en-US" w:eastAsia="zh-CN"/>
              </w:rPr>
              <w:t>总结合成控制法</w:t>
            </w:r>
            <w:r>
              <w:rPr>
                <w:rFonts w:hint="eastAsia" w:ascii="宋体" w:hAnsi="宋体" w:eastAsia="宋体" w:cs="宋体"/>
                <w:spacing w:val="10"/>
                <w:sz w:val="18"/>
                <w:szCs w:val="18"/>
                <w:lang w:val="en-US" w:eastAsia="zh-CN"/>
              </w:rPr>
              <w:t>建模技巧与论文写作技巧</w:t>
            </w:r>
          </w:p>
        </w:tc>
        <w:tc>
          <w:tcPr>
            <w:tcW w:w="1356" w:type="dxa"/>
            <w:vMerge w:val="continue"/>
            <w:noWrap w:val="0"/>
            <w:vAlign w:val="center"/>
          </w:tcPr>
          <w:p w14:paraId="5FB276D8">
            <w:pPr>
              <w:pStyle w:val="9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="0" w:beforeAutospacing="0" w:after="0" w:afterAutospacing="0" w:line="360" w:lineRule="auto"/>
              <w:ind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</w:tbl>
    <w:p w14:paraId="5092AC4F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0" w:leftChars="0" w:firstLine="0" w:firstLineChars="0"/>
        <w:textAlignment w:val="auto"/>
      </w:pPr>
    </w:p>
    <w:sectPr>
      <w:headerReference r:id="rId11" w:type="default"/>
      <w:footerReference r:id="rId12" w:type="default"/>
      <w:pgSz w:w="11906" w:h="16838"/>
      <w:pgMar w:top="1440" w:right="1800" w:bottom="1440" w:left="1800" w:header="851" w:footer="992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A0EC1C">
    <w:pPr>
      <w:pStyle w:val="10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0AE634">
    <w:pPr>
      <w:pStyle w:val="1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5E3BE2">
    <w:pPr>
      <w:pStyle w:val="10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C46A38">
    <w:pPr>
      <w:pStyle w:val="10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561340" cy="219710"/>
              <wp:effectExtent l="0" t="0" r="0" b="0"/>
              <wp:wrapNone/>
              <wp:docPr id="57" name="文本框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61340" cy="2197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1D39E48">
                          <w:pPr>
                            <w:pStyle w:val="10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0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7.3pt;width:44.2pt;mso-position-horizontal:center;mso-position-horizontal-relative:margin;z-index:251659264;mso-width-relative:page;mso-height-relative:page;" filled="f" stroked="f" coordsize="21600,21600" o:gfxdata="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1D39E48">
                    <w:pPr>
                      <w:pStyle w:val="10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377C31">
    <w:pPr>
      <w:pStyle w:val="11"/>
      <w:pBdr>
        <w:bottom w:val="none" w:color="auto" w:sz="0" w:space="1"/>
      </w:pBdr>
      <w:ind w:firstLine="0" w:firstLineChars="0"/>
      <w:rPr>
        <w:rFonts w:hint="eastAsia" w:ascii="宋体" w:hAnsi="宋体" w:cs="宋体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CF1F8C">
    <w:pPr>
      <w:pStyle w:val="11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7058A86">
    <w:pPr>
      <w:pStyle w:val="11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6CFD1F">
    <w:pPr>
      <w:pStyle w:val="11"/>
      <w:ind w:firstLine="360"/>
      <w:rPr>
        <w:rFonts w:hint="eastAsia"/>
      </w:rPr>
    </w:pPr>
    <w:bookmarkStart w:id="41" w:name="_Hlk178243777"/>
    <w:r>
      <w:rPr>
        <w:rFonts w:hint="eastAsia" w:eastAsia="微软雅黑"/>
      </w:rPr>
      <w:drawing>
        <wp:inline distT="0" distB="0" distL="114300" distR="114300">
          <wp:extent cx="1327150" cy="235585"/>
          <wp:effectExtent l="0" t="0" r="6350" b="12065"/>
          <wp:docPr id="61" name="图片 67" descr="logo黑色文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图片 67" descr="logo黑色文字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27150" cy="2355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41"/>
    <w:r>
      <w:t> </w:t>
    </w:r>
    <w:r>
      <w:rPr>
        <w:rFonts w:hint="eastAsia"/>
      </w:rPr>
      <w:t xml:space="preserve">    </w:t>
    </w:r>
    <w:r>
      <w:t> www.jiecl.com  微信公众号：云班课Online    TEL:028-81711073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080C175"/>
    <w:multiLevelType w:val="singleLevel"/>
    <w:tmpl w:val="8080C175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">
    <w:nsid w:val="946F5E43"/>
    <w:multiLevelType w:val="singleLevel"/>
    <w:tmpl w:val="946F5E4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2">
    <w:nsid w:val="A02964A3"/>
    <w:multiLevelType w:val="singleLevel"/>
    <w:tmpl w:val="A02964A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3">
    <w:nsid w:val="A408C1AB"/>
    <w:multiLevelType w:val="singleLevel"/>
    <w:tmpl w:val="A408C1AB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4">
    <w:nsid w:val="BAA4C407"/>
    <w:multiLevelType w:val="singleLevel"/>
    <w:tmpl w:val="BAA4C407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5">
    <w:nsid w:val="C9C2033F"/>
    <w:multiLevelType w:val="singleLevel"/>
    <w:tmpl w:val="C9C2033F"/>
    <w:lvl w:ilvl="0" w:tentative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6">
    <w:nsid w:val="00000004"/>
    <w:multiLevelType w:val="multilevel"/>
    <w:tmpl w:val="00000004"/>
    <w:lvl w:ilvl="0" w:tentative="0">
      <w:start w:val="1"/>
      <w:numFmt w:val="bullet"/>
      <w:lvlText w:val=""/>
      <w:lvlJc w:val="left"/>
      <w:pPr>
        <w:tabs>
          <w:tab w:val="left" w:pos="900"/>
        </w:tabs>
        <w:ind w:left="90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1320"/>
        </w:tabs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740"/>
        </w:tabs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2160"/>
        </w:tabs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580"/>
        </w:tabs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3000"/>
        </w:tabs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420"/>
        </w:tabs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840"/>
        </w:tabs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4260"/>
        </w:tabs>
        <w:ind w:left="4260" w:hanging="420"/>
      </w:pPr>
      <w:rPr>
        <w:rFonts w:hint="default" w:ascii="Wingdings" w:hAnsi="Wingdings"/>
      </w:rPr>
    </w:lvl>
  </w:abstractNum>
  <w:abstractNum w:abstractNumId="7">
    <w:nsid w:val="054F373A"/>
    <w:multiLevelType w:val="singleLevel"/>
    <w:tmpl w:val="054F373A"/>
    <w:lvl w:ilvl="0" w:tentative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8">
    <w:nsid w:val="105D9AF1"/>
    <w:multiLevelType w:val="singleLevel"/>
    <w:tmpl w:val="105D9AF1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9">
    <w:nsid w:val="1CA9C606"/>
    <w:multiLevelType w:val="multilevel"/>
    <w:tmpl w:val="1CA9C606"/>
    <w:lvl w:ilvl="0" w:tentative="0">
      <w:start w:val="1"/>
      <w:numFmt w:val="bullet"/>
      <w:lvlText w:val=""/>
      <w:lvlJc w:val="left"/>
      <w:pPr>
        <w:tabs>
          <w:tab w:val="left" w:pos="1160"/>
        </w:tabs>
        <w:ind w:left="1160" w:hanging="420"/>
      </w:pPr>
      <w:rPr>
        <w:rFonts w:hint="default" w:ascii="Wingdings" w:hAnsi="Wingdings" w:cs="Wingdings"/>
      </w:rPr>
    </w:lvl>
    <w:lvl w:ilvl="1" w:tentative="0">
      <w:start w:val="1"/>
      <w:numFmt w:val="decimal"/>
      <w:lvlText w:val="%2、"/>
      <w:lvlJc w:val="left"/>
      <w:pPr>
        <w:tabs>
          <w:tab w:val="left" w:pos="1520"/>
        </w:tabs>
        <w:ind w:left="152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2000"/>
        </w:tabs>
        <w:ind w:left="2000" w:hanging="420"/>
      </w:pPr>
    </w:lvl>
    <w:lvl w:ilvl="3" w:tentative="0">
      <w:start w:val="1"/>
      <w:numFmt w:val="decimal"/>
      <w:lvlText w:val="%4."/>
      <w:lvlJc w:val="left"/>
      <w:pPr>
        <w:tabs>
          <w:tab w:val="left" w:pos="2420"/>
        </w:tabs>
        <w:ind w:left="242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840"/>
        </w:tabs>
        <w:ind w:left="284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3260"/>
        </w:tabs>
        <w:ind w:left="3260" w:hanging="420"/>
      </w:pPr>
    </w:lvl>
    <w:lvl w:ilvl="6" w:tentative="0">
      <w:start w:val="1"/>
      <w:numFmt w:val="decimal"/>
      <w:lvlText w:val="%7."/>
      <w:lvlJc w:val="left"/>
      <w:pPr>
        <w:tabs>
          <w:tab w:val="left" w:pos="3680"/>
        </w:tabs>
        <w:ind w:left="368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4100"/>
        </w:tabs>
        <w:ind w:left="410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520"/>
        </w:tabs>
        <w:ind w:left="4520" w:hanging="420"/>
      </w:pPr>
    </w:lvl>
  </w:abstractNum>
  <w:abstractNum w:abstractNumId="10">
    <w:nsid w:val="1CCB0AE8"/>
    <w:multiLevelType w:val="singleLevel"/>
    <w:tmpl w:val="1CCB0AE8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1">
    <w:nsid w:val="4EEF9133"/>
    <w:multiLevelType w:val="singleLevel"/>
    <w:tmpl w:val="4EEF9133"/>
    <w:lvl w:ilvl="0" w:tentative="0">
      <w:start w:val="1"/>
      <w:numFmt w:val="decimalEnclosedCircleChinese"/>
      <w:suff w:val="nothing"/>
      <w:lvlText w:val="%1　"/>
      <w:lvlJc w:val="left"/>
      <w:pPr>
        <w:ind w:left="0" w:firstLine="400"/>
      </w:pPr>
      <w:rPr>
        <w:rFonts w:hint="eastAsia"/>
      </w:rPr>
    </w:lvl>
  </w:abstractNum>
  <w:abstractNum w:abstractNumId="12">
    <w:nsid w:val="6382E7A7"/>
    <w:multiLevelType w:val="multilevel"/>
    <w:tmpl w:val="6382E7A7"/>
    <w:lvl w:ilvl="0" w:tentative="0">
      <w:start w:val="1"/>
      <w:numFmt w:val="chineseCounting"/>
      <w:pStyle w:val="4"/>
      <w:suff w:val="nothing"/>
      <w:lvlText w:val="%1、"/>
      <w:lvlJc w:val="left"/>
      <w:pPr>
        <w:tabs>
          <w:tab w:val="left" w:pos="0"/>
        </w:tabs>
        <w:ind w:left="-443" w:firstLine="400"/>
      </w:pPr>
      <w:rPr>
        <w:rFonts w:hint="eastAsia"/>
      </w:rPr>
    </w:lvl>
    <w:lvl w:ilvl="1" w:tentative="0">
      <w:start w:val="1"/>
      <w:numFmt w:val="decimal"/>
      <w:pStyle w:val="5"/>
      <w:suff w:val="nothing"/>
      <w:lvlText w:val="%2．"/>
      <w:lvlJc w:val="left"/>
      <w:pPr>
        <w:ind w:left="418" w:firstLine="400"/>
      </w:pPr>
      <w:rPr>
        <w:rFonts w:hint="eastAsia" w:ascii="宋体" w:hAnsi="宋体" w:eastAsia="宋体" w:cs="宋体"/>
      </w:rPr>
    </w:lvl>
    <w:lvl w:ilvl="2" w:tentative="0">
      <w:start w:val="1"/>
      <w:numFmt w:val="decimal"/>
      <w:suff w:val="nothing"/>
      <w:lvlText w:val="（%3）"/>
      <w:lvlJc w:val="left"/>
      <w:pPr>
        <w:ind w:left="-442" w:firstLine="402"/>
      </w:pPr>
      <w:rPr>
        <w:rFonts w:hint="eastAsia" w:ascii="宋体" w:hAnsi="宋体" w:eastAsia="宋体" w:cs="宋体"/>
      </w:rPr>
    </w:lvl>
    <w:lvl w:ilvl="3" w:tentative="0">
      <w:start w:val="1"/>
      <w:numFmt w:val="decimalEnclosedCircleChinese"/>
      <w:suff w:val="nothing"/>
      <w:lvlText w:val="%4 "/>
      <w:lvlJc w:val="left"/>
      <w:pPr>
        <w:ind w:left="-766" w:firstLine="402"/>
      </w:pPr>
      <w:rPr>
        <w:rFonts w:hint="eastAsia" w:ascii="宋体" w:hAnsi="宋体" w:eastAsia="宋体" w:cs="宋体"/>
      </w:rPr>
    </w:lvl>
    <w:lvl w:ilvl="4" w:tentative="0">
      <w:start w:val="1"/>
      <w:numFmt w:val="decimal"/>
      <w:suff w:val="nothing"/>
      <w:lvlText w:val="%5）"/>
      <w:lvlJc w:val="left"/>
      <w:pPr>
        <w:ind w:left="-766" w:firstLine="402"/>
      </w:pPr>
      <w:rPr>
        <w:rFonts w:hint="eastAsia"/>
      </w:rPr>
    </w:lvl>
    <w:lvl w:ilvl="5" w:tentative="0">
      <w:start w:val="1"/>
      <w:numFmt w:val="lowerLetter"/>
      <w:suff w:val="nothing"/>
      <w:lvlText w:val="%6．"/>
      <w:lvlJc w:val="left"/>
      <w:pPr>
        <w:ind w:left="-766" w:firstLine="402"/>
      </w:pPr>
      <w:rPr>
        <w:rFonts w:hint="eastAsia"/>
      </w:rPr>
    </w:lvl>
    <w:lvl w:ilvl="6" w:tentative="0">
      <w:start w:val="1"/>
      <w:numFmt w:val="lowerLetter"/>
      <w:suff w:val="nothing"/>
      <w:lvlText w:val="%7）"/>
      <w:lvlJc w:val="left"/>
      <w:pPr>
        <w:ind w:left="-766" w:firstLine="402"/>
      </w:pPr>
      <w:rPr>
        <w:rFonts w:hint="eastAsia"/>
      </w:rPr>
    </w:lvl>
    <w:lvl w:ilvl="7" w:tentative="0">
      <w:start w:val="1"/>
      <w:numFmt w:val="lowerRoman"/>
      <w:suff w:val="nothing"/>
      <w:lvlText w:val="%8. "/>
      <w:lvlJc w:val="left"/>
      <w:pPr>
        <w:ind w:left="-766" w:firstLine="402"/>
      </w:pPr>
      <w:rPr>
        <w:rFonts w:hint="eastAsia"/>
      </w:rPr>
    </w:lvl>
    <w:lvl w:ilvl="8" w:tentative="0">
      <w:start w:val="1"/>
      <w:numFmt w:val="lowerRoman"/>
      <w:suff w:val="nothing"/>
      <w:lvlText w:val="%9）"/>
      <w:lvlJc w:val="left"/>
      <w:pPr>
        <w:ind w:left="-766" w:firstLine="402"/>
      </w:pPr>
      <w:rPr>
        <w:rFonts w:hint="eastAsia"/>
      </w:rPr>
    </w:lvl>
  </w:abstractNum>
  <w:num w:numId="1">
    <w:abstractNumId w:val="12"/>
  </w:num>
  <w:num w:numId="2">
    <w:abstractNumId w:val="5"/>
  </w:num>
  <w:num w:numId="3">
    <w:abstractNumId w:val="7"/>
  </w:num>
  <w:num w:numId="4">
    <w:abstractNumId w:val="9"/>
  </w:num>
  <w:num w:numId="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6"/>
  </w:num>
  <w:num w:numId="9">
    <w:abstractNumId w:val="11"/>
  </w:num>
  <w:num w:numId="10">
    <w:abstractNumId w:val="2"/>
  </w:num>
  <w:num w:numId="11">
    <w:abstractNumId w:val="10"/>
  </w:num>
  <w:num w:numId="12">
    <w:abstractNumId w:val="4"/>
  </w:num>
  <w:num w:numId="13">
    <w:abstractNumId w:val="8"/>
  </w:num>
  <w:num w:numId="14">
    <w:abstractNumId w:val="1"/>
  </w:num>
  <w:num w:numId="15">
    <w:abstractNumId w:val="0"/>
  </w:num>
  <w:num w:numId="1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36132DD"/>
    <w:rsid w:val="021E0E8B"/>
    <w:rsid w:val="036132DD"/>
    <w:rsid w:val="08DF4269"/>
    <w:rsid w:val="14891213"/>
    <w:rsid w:val="21B300CF"/>
    <w:rsid w:val="22237002"/>
    <w:rsid w:val="31FC4CAA"/>
    <w:rsid w:val="38F512A1"/>
    <w:rsid w:val="41D872F3"/>
    <w:rsid w:val="59594ADC"/>
    <w:rsid w:val="63EE3564"/>
    <w:rsid w:val="798D4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880" w:firstLineChars="200"/>
      <w:jc w:val="both"/>
    </w:pPr>
    <w:rPr>
      <w:rFonts w:ascii="Calibri" w:hAnsi="Calibri" w:eastAsia="宋体" w:cs="Times New Roman"/>
      <w:kern w:val="2"/>
      <w:sz w:val="28"/>
      <w:szCs w:val="24"/>
      <w:lang w:val="en-US" w:eastAsia="zh-CN" w:bidi="ar-SA"/>
    </w:rPr>
  </w:style>
  <w:style w:type="paragraph" w:styleId="4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100" w:beforeLines="0" w:beforeAutospacing="0" w:after="100" w:afterLines="0" w:afterAutospacing="0" w:line="360" w:lineRule="auto"/>
      <w:ind w:left="0" w:firstLine="400"/>
      <w:outlineLvl w:val="0"/>
    </w:pPr>
    <w:rPr>
      <w:rFonts w:eastAsia="宋体"/>
      <w:b/>
      <w:kern w:val="44"/>
      <w:sz w:val="32"/>
    </w:rPr>
  </w:style>
  <w:style w:type="paragraph" w:styleId="5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spacing w:before="100" w:after="100"/>
      <w:ind w:firstLine="0" w:firstLineChars="0"/>
      <w:outlineLvl w:val="1"/>
    </w:pPr>
    <w:rPr>
      <w:rFonts w:ascii="Arial" w:hAnsi="Arial" w:eastAsia="宋体"/>
      <w:b/>
      <w:sz w:val="30"/>
    </w:rPr>
  </w:style>
  <w:style w:type="paragraph" w:styleId="6">
    <w:name w:val="heading 3"/>
    <w:basedOn w:val="1"/>
    <w:next w:val="1"/>
    <w:qFormat/>
    <w:uiPriority w:val="0"/>
    <w:pPr>
      <w:keepNext/>
      <w:keepLines/>
      <w:ind w:firstLine="0" w:firstLineChars="0"/>
      <w:outlineLvl w:val="2"/>
    </w:pPr>
    <w:rPr>
      <w:rFonts w:eastAsia="宋体"/>
      <w:b/>
    </w:rPr>
  </w:style>
  <w:style w:type="paragraph" w:styleId="7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7">
    <w:name w:val="Default Paragraph Font"/>
    <w:semiHidden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 w:firstLineChars="200"/>
    </w:pPr>
  </w:style>
  <w:style w:type="paragraph" w:styleId="3">
    <w:name w:val="Body Text Indent"/>
    <w:basedOn w:val="1"/>
    <w:unhideWhenUsed/>
    <w:qFormat/>
    <w:uiPriority w:val="99"/>
    <w:pPr>
      <w:spacing w:after="120"/>
      <w:ind w:left="420" w:leftChars="200"/>
    </w:p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Plain Text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eastAsia" w:ascii="宋体" w:hAnsi="Courier New" w:eastAsia="宋体" w:cs="Times New Roman"/>
      <w:kern w:val="2"/>
      <w:sz w:val="21"/>
      <w:szCs w:val="22"/>
      <w:lang w:val="en-US" w:eastAsia="zh-CN" w:bidi="ar"/>
    </w:rPr>
  </w:style>
  <w:style w:type="paragraph" w:styleId="10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1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toc 1"/>
    <w:basedOn w:val="1"/>
    <w:next w:val="1"/>
    <w:qFormat/>
    <w:uiPriority w:val="39"/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Normal (Web)"/>
    <w:basedOn w:val="1"/>
    <w:qFormat/>
    <w:uiPriority w:val="0"/>
    <w:pPr>
      <w:keepNext w:val="0"/>
      <w:keepLines w:val="0"/>
      <w:widowControl w:val="0"/>
      <w:suppressLineNumbers w:val="0"/>
      <w:spacing w:before="100" w:beforeAutospacing="1" w:after="100" w:afterAutospacing="1"/>
      <w:ind w:left="0" w:right="0"/>
      <w:jc w:val="left"/>
    </w:pPr>
    <w:rPr>
      <w:rFonts w:hint="default" w:ascii="Calibri" w:hAnsi="Calibri" w:eastAsia="宋体" w:cs="Times New Roman"/>
      <w:kern w:val="0"/>
      <w:sz w:val="24"/>
      <w:szCs w:val="24"/>
      <w:lang w:val="en-US" w:eastAsia="zh-CN" w:bidi="ar"/>
    </w:rPr>
  </w:style>
  <w:style w:type="table" w:styleId="16">
    <w:name w:val="Table Grid"/>
    <w:basedOn w:val="1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8">
    <w:name w:val="Strong"/>
    <w:basedOn w:val="17"/>
    <w:qFormat/>
    <w:uiPriority w:val="0"/>
    <w:rPr>
      <w:b/>
    </w:rPr>
  </w:style>
  <w:style w:type="paragraph" w:customStyle="1" w:styleId="19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20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table" w:customStyle="1" w:styleId="21">
    <w:name w:val="写书表格样式"/>
    <w:basedOn w:val="15"/>
    <w:qFormat/>
    <w:uiPriority w:val="0"/>
    <w:pPr>
      <w:jc w:val="both"/>
    </w:pPr>
    <w:rPr>
      <w:rFonts w:ascii="Times New Roman" w:hAnsi="Times New Roman" w:eastAsia="宋体"/>
      <w:kern w:val="0"/>
      <w:sz w:val="18"/>
      <w:szCs w:val="20"/>
    </w:rPr>
    <w:tblPr>
      <w:jc w:val="center"/>
      <w:tblBorders>
        <w:top w:val="single" w:color="auto" w:sz="12" w:space="0"/>
        <w:bottom w:val="single" w:color="auto" w:sz="12" w:space="0"/>
        <w:insideH w:val="single" w:color="auto" w:sz="4" w:space="0"/>
        <w:insideV w:val="single" w:color="auto" w:sz="4" w:space="0"/>
      </w:tblBorders>
    </w:tblPr>
    <w:trPr>
      <w:jc w:val="center"/>
    </w:trPr>
    <w:tcPr>
      <w:vAlign w:val="center"/>
    </w:tc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numbering" Target="numbering.xml"/><Relationship Id="rId36" Type="http://schemas.openxmlformats.org/officeDocument/2006/relationships/customXml" Target="../customXml/item1.xml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png"/><Relationship Id="rId3" Type="http://schemas.openxmlformats.org/officeDocument/2006/relationships/footnotes" Target="footnotes.xml"/><Relationship Id="rId29" Type="http://schemas.openxmlformats.org/officeDocument/2006/relationships/image" Target="media/image16.png"/><Relationship Id="rId28" Type="http://schemas.openxmlformats.org/officeDocument/2006/relationships/image" Target="media/image15.png"/><Relationship Id="rId27" Type="http://schemas.openxmlformats.org/officeDocument/2006/relationships/image" Target="media/image14.png"/><Relationship Id="rId26" Type="http://schemas.openxmlformats.org/officeDocument/2006/relationships/image" Target="media/image13.png"/><Relationship Id="rId25" Type="http://schemas.openxmlformats.org/officeDocument/2006/relationships/image" Target="media/image12.png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" Type="http://schemas.openxmlformats.org/officeDocument/2006/relationships/image" Target="media/image6.png"/><Relationship Id="rId18" Type="http://schemas.openxmlformats.org/officeDocument/2006/relationships/image" Target="media/image5.png"/><Relationship Id="rId17" Type="http://schemas.openxmlformats.org/officeDocument/2006/relationships/image" Target="media/image4.png"/><Relationship Id="rId16" Type="http://schemas.openxmlformats.org/officeDocument/2006/relationships/image" Target="media/image3.png"/><Relationship Id="rId15" Type="http://schemas.openxmlformats.org/officeDocument/2006/relationships/image" Target="media/image1.png"/><Relationship Id="rId14" Type="http://schemas.openxmlformats.org/officeDocument/2006/relationships/image" Target="media/image2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2906</Words>
  <Characters>3027</Characters>
  <Lines>0</Lines>
  <Paragraphs>0</Paragraphs>
  <TotalTime>13</TotalTime>
  <ScaleCrop>false</ScaleCrop>
  <LinksUpToDate>false</LinksUpToDate>
  <CharactersWithSpaces>3130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2025-02-12T06:40:00Z</dcterms:created>
  <dc:creator>肥嘟好肥</dc:creator>
  <cp:lastModifiedBy>肥嘟好肥</cp:lastModifiedBy>
  <dcterms:modified xsi:type="dcterms:W3CDTF">2025-02-14T09:29:08Z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03549B96B1D44BB885ABA5121D01C9D3_11</vt:lpwstr>
  </property>
  <property fmtid="{D5CDD505-2E9C-101B-9397-08002B2CF9AE}" pid="4" name="KSOTemplateDocerSaveRecord">
    <vt:lpwstr>eyJoZGlkIjoiZDYxMGJhNDRmYWI3YTAxNjQyMTZhOWFkOTIxMDI4NTMiLCJ1c2VySWQiOiIzNzkzNTEwMTcifQ==</vt:lpwstr>
  </property>
</Properties>
</file>