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68143">
      <w:pPr>
        <w:pageBreakBefore w:val="0"/>
        <w:kinsoku/>
        <w:wordWrap/>
        <w:overflowPunct/>
        <w:topLinePunct w:val="0"/>
        <w:autoSpaceDE/>
        <w:autoSpaceDN/>
        <w:bidi w:val="0"/>
        <w:adjustRightInd w:val="0"/>
        <w:snapToGrid w:val="0"/>
        <w:spacing w:line="360" w:lineRule="auto"/>
        <w:rPr>
          <w:rFonts w:hint="eastAsia" w:asciiTheme="minorEastAsia" w:hAnsiTheme="minorEastAsia" w:eastAsiaTheme="minorEastAsia"/>
          <w:color w:val="000000"/>
          <w:sz w:val="28"/>
          <w:szCs w:val="28"/>
        </w:rPr>
      </w:pPr>
      <w:bookmarkStart w:id="4" w:name="_GoBack"/>
      <w:r>
        <w:rPr>
          <w:rFonts w:hint="eastAsia" w:asciiTheme="minorEastAsia" w:hAnsiTheme="minorEastAsia" w:eastAsiaTheme="minorEastAsia"/>
          <w:color w:val="000000"/>
          <w:sz w:val="28"/>
          <w:szCs w:val="28"/>
        </w:rPr>
        <w:t xml:space="preserve"> </w:t>
      </w:r>
    </w:p>
    <w:p w14:paraId="7EC6A6D4">
      <w:pPr>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spacing w:val="4"/>
          <w:kern w:val="0"/>
          <w:sz w:val="48"/>
          <w:szCs w:val="48"/>
        </w:rPr>
      </w:pPr>
      <w:r>
        <w:rPr>
          <w:rFonts w:hint="eastAsia" w:ascii="宋体" w:hAnsi="宋体" w:eastAsia="宋体" w:cs="宋体"/>
          <w:b/>
          <w:spacing w:val="4"/>
          <w:kern w:val="0"/>
          <w:sz w:val="48"/>
          <w:szCs w:val="48"/>
        </w:rPr>
        <w:t xml:space="preserve"> </w:t>
      </w:r>
      <w:r>
        <w:rPr>
          <w:rFonts w:ascii="宋体" w:hAnsi="宋体" w:eastAsia="宋体" w:cs="宋体"/>
          <w:b/>
          <w:spacing w:val="4"/>
          <w:kern w:val="0"/>
          <w:sz w:val="48"/>
          <w:szCs w:val="48"/>
        </w:rPr>
        <w:t>XXX</w:t>
      </w:r>
      <w:r>
        <w:rPr>
          <w:rFonts w:hint="eastAsia" w:ascii="宋体" w:hAnsi="宋体" w:eastAsia="宋体" w:cs="宋体"/>
          <w:b/>
          <w:spacing w:val="4"/>
          <w:kern w:val="0"/>
          <w:sz w:val="48"/>
          <w:szCs w:val="48"/>
        </w:rPr>
        <w:t>大学X</w:t>
      </w:r>
      <w:r>
        <w:rPr>
          <w:rFonts w:ascii="宋体" w:hAnsi="宋体" w:eastAsia="宋体" w:cs="宋体"/>
          <w:b/>
          <w:spacing w:val="4"/>
          <w:kern w:val="0"/>
          <w:sz w:val="48"/>
          <w:szCs w:val="48"/>
        </w:rPr>
        <w:t>XXX</w:t>
      </w:r>
      <w:r>
        <w:rPr>
          <w:rFonts w:hint="eastAsia" w:ascii="宋体" w:hAnsi="宋体" w:eastAsia="宋体" w:cs="宋体"/>
          <w:b/>
          <w:spacing w:val="4"/>
          <w:kern w:val="0"/>
          <w:sz w:val="48"/>
          <w:szCs w:val="48"/>
        </w:rPr>
        <w:t>学院</w:t>
      </w:r>
    </w:p>
    <w:p w14:paraId="242CD055">
      <w:pPr>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spacing w:val="4"/>
          <w:kern w:val="0"/>
          <w:sz w:val="48"/>
          <w:szCs w:val="48"/>
        </w:rPr>
      </w:pPr>
      <w:r>
        <w:rPr>
          <w:rFonts w:hint="eastAsia" w:ascii="宋体" w:hAnsi="宋体" w:eastAsia="宋体" w:cs="宋体"/>
          <w:b/>
          <w:spacing w:val="4"/>
          <w:kern w:val="0"/>
          <w:sz w:val="48"/>
          <w:szCs w:val="48"/>
        </w:rPr>
        <w:t>实验项目建设申报书</w:t>
      </w:r>
    </w:p>
    <w:p w14:paraId="24AB13F1">
      <w:pPr>
        <w:pageBreakBefore w:val="0"/>
        <w:kinsoku/>
        <w:wordWrap/>
        <w:overflowPunct/>
        <w:topLinePunct w:val="0"/>
        <w:autoSpaceDE/>
        <w:autoSpaceDN/>
        <w:bidi w:val="0"/>
        <w:adjustRightInd w:val="0"/>
        <w:snapToGrid w:val="0"/>
        <w:spacing w:line="360" w:lineRule="auto"/>
        <w:jc w:val="left"/>
        <w:rPr>
          <w:rFonts w:cs="宋体"/>
          <w:b/>
          <w:spacing w:val="4"/>
          <w:kern w:val="0"/>
          <w:sz w:val="48"/>
          <w:szCs w:val="48"/>
        </w:rPr>
      </w:pPr>
    </w:p>
    <w:p w14:paraId="24380CE9">
      <w:pPr>
        <w:pageBreakBefore w:val="0"/>
        <w:kinsoku/>
        <w:wordWrap/>
        <w:overflowPunct/>
        <w:topLinePunct w:val="0"/>
        <w:autoSpaceDE/>
        <w:autoSpaceDN/>
        <w:bidi w:val="0"/>
        <w:adjustRightInd w:val="0"/>
        <w:snapToGrid w:val="0"/>
        <w:spacing w:line="360" w:lineRule="auto"/>
        <w:jc w:val="left"/>
        <w:rPr>
          <w:rFonts w:cs="宋体"/>
          <w:b/>
          <w:spacing w:val="4"/>
          <w:kern w:val="0"/>
          <w:sz w:val="48"/>
          <w:szCs w:val="48"/>
        </w:rPr>
      </w:pPr>
    </w:p>
    <w:p w14:paraId="28E33D04">
      <w:pPr>
        <w:pageBreakBefore w:val="0"/>
        <w:kinsoku/>
        <w:wordWrap/>
        <w:overflowPunct/>
        <w:topLinePunct w:val="0"/>
        <w:autoSpaceDE/>
        <w:autoSpaceDN/>
        <w:bidi w:val="0"/>
        <w:adjustRightInd w:val="0"/>
        <w:snapToGrid w:val="0"/>
        <w:spacing w:line="360" w:lineRule="auto"/>
        <w:jc w:val="left"/>
      </w:pPr>
    </w:p>
    <w:p w14:paraId="33BB00D4">
      <w:pPr>
        <w:pageBreakBefore w:val="0"/>
        <w:kinsoku/>
        <w:wordWrap/>
        <w:overflowPunct/>
        <w:topLinePunct w:val="0"/>
        <w:autoSpaceDE/>
        <w:autoSpaceDN/>
        <w:bidi w:val="0"/>
        <w:adjustRightInd w:val="0"/>
        <w:snapToGrid w:val="0"/>
        <w:spacing w:line="360" w:lineRule="auto"/>
        <w:jc w:val="left"/>
      </w:pPr>
    </w:p>
    <w:p w14:paraId="1E3217F0">
      <w:pPr>
        <w:pageBreakBefore w:val="0"/>
        <w:kinsoku/>
        <w:wordWrap/>
        <w:overflowPunct/>
        <w:topLinePunct w:val="0"/>
        <w:autoSpaceDE/>
        <w:autoSpaceDN/>
        <w:bidi w:val="0"/>
        <w:adjustRightInd w:val="0"/>
        <w:snapToGrid w:val="0"/>
        <w:spacing w:line="360" w:lineRule="auto"/>
        <w:ind w:firstLine="588" w:firstLineChars="200"/>
        <w:jc w:val="left"/>
        <w:rPr>
          <w:rFonts w:hint="eastAsia" w:ascii="宋体" w:hAnsi="宋体" w:eastAsia="宋体"/>
          <w:b/>
          <w:bCs/>
          <w:sz w:val="32"/>
          <w:u w:val="single"/>
        </w:rPr>
      </w:pPr>
      <w:r>
        <w:rPr>
          <w:rFonts w:hint="eastAsia" w:ascii="宋体" w:hAnsi="宋体" w:eastAsia="宋体"/>
          <w:b/>
          <w:bCs/>
          <w:sz w:val="32"/>
        </w:rPr>
        <w:t>项目（政策）：</w:t>
      </w:r>
      <w:r>
        <w:rPr>
          <w:rFonts w:hint="eastAsia" w:ascii="宋体" w:hAnsi="宋体" w:eastAsia="宋体"/>
          <w:b/>
          <w:bCs/>
          <w:sz w:val="32"/>
          <w:u w:val="single"/>
        </w:rPr>
        <w:t xml:space="preserve">  </w:t>
      </w:r>
      <w:r>
        <w:rPr>
          <w:rFonts w:hint="eastAsia" w:ascii="宋体" w:hAnsi="宋体" w:eastAsia="宋体"/>
          <w:b/>
          <w:bCs/>
          <w:sz w:val="32"/>
          <w:u w:val="single"/>
          <w:lang w:eastAsia="zh-CN"/>
        </w:rPr>
        <w:t>供应链AI大数据教学平台</w:t>
      </w:r>
      <w:r>
        <w:rPr>
          <w:rFonts w:hint="eastAsia" w:ascii="宋体" w:hAnsi="宋体" w:eastAsia="宋体"/>
          <w:b/>
          <w:bCs/>
          <w:sz w:val="32"/>
          <w:u w:val="single"/>
        </w:rPr>
        <w:t xml:space="preserve">   </w:t>
      </w:r>
    </w:p>
    <w:p w14:paraId="0E2F87A6">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252D1DCD">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2689BB45">
      <w:pPr>
        <w:pageBreakBefore w:val="0"/>
        <w:kinsoku/>
        <w:wordWrap/>
        <w:overflowPunct/>
        <w:topLinePunct w:val="0"/>
        <w:autoSpaceDE/>
        <w:autoSpaceDN/>
        <w:bidi w:val="0"/>
        <w:adjustRightInd w:val="0"/>
        <w:snapToGrid w:val="0"/>
        <w:spacing w:line="360" w:lineRule="auto"/>
        <w:ind w:firstLine="726" w:firstLineChars="247"/>
        <w:rPr>
          <w:rFonts w:hint="eastAsia" w:ascii="宋体" w:hAnsi="宋体" w:eastAsia="宋体"/>
          <w:b/>
          <w:bCs/>
          <w:sz w:val="32"/>
        </w:rPr>
      </w:pPr>
      <w:r>
        <w:rPr>
          <w:rFonts w:hint="eastAsia" w:ascii="宋体" w:hAnsi="宋体" w:eastAsia="宋体"/>
          <w:b/>
          <w:bCs/>
          <w:sz w:val="32"/>
        </w:rPr>
        <w:t>责 任 单 位：</w:t>
      </w:r>
      <w:r>
        <w:rPr>
          <w:rFonts w:hint="eastAsia" w:ascii="宋体" w:hAnsi="宋体" w:eastAsia="宋体"/>
          <w:b/>
          <w:bCs/>
          <w:sz w:val="32"/>
          <w:u w:val="single"/>
        </w:rPr>
        <w:t xml:space="preserve">  </w:t>
      </w:r>
      <w:r>
        <w:rPr>
          <w:rFonts w:ascii="宋体" w:hAnsi="宋体" w:eastAsia="宋体"/>
          <w:b/>
          <w:bCs/>
          <w:sz w:val="32"/>
          <w:u w:val="single"/>
        </w:rPr>
        <w:t xml:space="preserve">       </w:t>
      </w:r>
      <w:r>
        <w:rPr>
          <w:rFonts w:hint="eastAsia" w:ascii="宋体" w:hAnsi="宋体" w:eastAsia="宋体"/>
          <w:b/>
          <w:bCs/>
          <w:sz w:val="32"/>
          <w:u w:val="single"/>
        </w:rPr>
        <w:t xml:space="preserve">XX学院 </w:t>
      </w:r>
      <w:r>
        <w:rPr>
          <w:rFonts w:ascii="宋体" w:hAnsi="宋体" w:eastAsia="宋体"/>
          <w:b/>
          <w:bCs/>
          <w:sz w:val="32"/>
          <w:u w:val="single"/>
        </w:rPr>
        <w:t xml:space="preserve">        </w:t>
      </w:r>
      <w:r>
        <w:rPr>
          <w:rFonts w:hint="eastAsia" w:ascii="宋体" w:hAnsi="宋体" w:eastAsia="宋体"/>
          <w:b/>
          <w:bCs/>
          <w:sz w:val="32"/>
          <w:u w:val="single"/>
        </w:rPr>
        <w:t xml:space="preserve">    </w:t>
      </w:r>
    </w:p>
    <w:p w14:paraId="4A760D18">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4C19CCC8">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396417CF">
      <w:pPr>
        <w:pageBreakBefore w:val="0"/>
        <w:kinsoku/>
        <w:wordWrap/>
        <w:overflowPunct/>
        <w:topLinePunct w:val="0"/>
        <w:autoSpaceDE/>
        <w:autoSpaceDN/>
        <w:bidi w:val="0"/>
        <w:adjustRightInd w:val="0"/>
        <w:snapToGrid w:val="0"/>
        <w:spacing w:line="360" w:lineRule="auto"/>
        <w:ind w:firstLine="726" w:firstLineChars="247"/>
        <w:rPr>
          <w:rFonts w:hint="eastAsia" w:ascii="宋体" w:hAnsi="宋体" w:eastAsia="宋体"/>
          <w:b/>
          <w:bCs/>
          <w:sz w:val="32"/>
        </w:rPr>
      </w:pPr>
      <w:r>
        <w:rPr>
          <w:rFonts w:hint="eastAsia" w:ascii="宋体" w:hAnsi="宋体" w:eastAsia="宋体"/>
          <w:b/>
          <w:bCs/>
          <w:sz w:val="32"/>
        </w:rPr>
        <w:t>主 管 部 门：</w:t>
      </w:r>
      <w:r>
        <w:rPr>
          <w:rFonts w:hint="eastAsia" w:ascii="宋体" w:hAnsi="宋体" w:eastAsia="宋体"/>
          <w:b/>
          <w:bCs/>
          <w:sz w:val="32"/>
          <w:u w:val="single"/>
        </w:rPr>
        <w:t xml:space="preserve">        </w:t>
      </w:r>
      <w:r>
        <w:rPr>
          <w:rFonts w:ascii="宋体" w:hAnsi="宋体" w:eastAsia="宋体"/>
          <w:b/>
          <w:bCs/>
          <w:sz w:val="32"/>
          <w:u w:val="single"/>
        </w:rPr>
        <w:t xml:space="preserve">             </w:t>
      </w:r>
      <w:r>
        <w:rPr>
          <w:rFonts w:hint="eastAsia" w:ascii="宋体" w:hAnsi="宋体" w:eastAsia="宋体"/>
          <w:b/>
          <w:bCs/>
          <w:sz w:val="32"/>
          <w:u w:val="single"/>
        </w:rPr>
        <w:t xml:space="preserve">                </w:t>
      </w:r>
    </w:p>
    <w:p w14:paraId="38D4EA7D">
      <w:pPr>
        <w:pageBreakBefore w:val="0"/>
        <w:kinsoku/>
        <w:wordWrap/>
        <w:overflowPunct/>
        <w:topLinePunct w:val="0"/>
        <w:autoSpaceDE/>
        <w:autoSpaceDN/>
        <w:bidi w:val="0"/>
        <w:adjustRightInd w:val="0"/>
        <w:snapToGrid w:val="0"/>
        <w:spacing w:line="360" w:lineRule="auto"/>
        <w:ind w:firstLine="435"/>
        <w:jc w:val="center"/>
        <w:rPr>
          <w:rFonts w:ascii="仿宋_GB2312"/>
          <w:b/>
          <w:bCs/>
          <w:sz w:val="32"/>
        </w:rPr>
      </w:pPr>
    </w:p>
    <w:p w14:paraId="6ADAD0A7">
      <w:pPr>
        <w:pageBreakBefore w:val="0"/>
        <w:kinsoku/>
        <w:wordWrap/>
        <w:overflowPunct/>
        <w:topLinePunct w:val="0"/>
        <w:autoSpaceDE/>
        <w:autoSpaceDN/>
        <w:bidi w:val="0"/>
        <w:adjustRightInd w:val="0"/>
        <w:snapToGrid w:val="0"/>
        <w:spacing w:line="360" w:lineRule="auto"/>
        <w:ind w:firstLine="435"/>
        <w:jc w:val="center"/>
        <w:rPr>
          <w:rFonts w:ascii="仿宋_GB2312"/>
          <w:b/>
          <w:bCs/>
          <w:sz w:val="32"/>
        </w:rPr>
      </w:pPr>
    </w:p>
    <w:p w14:paraId="0A7D2B50">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p>
    <w:p w14:paraId="35A9D6BF">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r>
        <w:rPr>
          <w:rFonts w:hint="eastAsia" w:ascii="宋体" w:hAnsi="宋体" w:eastAsia="宋体"/>
          <w:b/>
          <w:bCs/>
          <w:sz w:val="32"/>
        </w:rPr>
        <w:t xml:space="preserve">评估方式： 部门集体研究□   专家评估□　第三方评估□  </w:t>
      </w:r>
    </w:p>
    <w:p w14:paraId="1EB8D063">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pPr>
      <w:r>
        <w:rPr>
          <w:rFonts w:hint="eastAsia" w:ascii="宋体" w:hAnsi="宋体" w:eastAsia="宋体"/>
          <w:b/>
          <w:bCs/>
          <w:sz w:val="32"/>
        </w:rPr>
        <w:t>评估日期：</w:t>
      </w:r>
      <w:r>
        <w:rPr>
          <w:rFonts w:ascii="宋体" w:hAnsi="宋体" w:eastAsia="宋体"/>
          <w:b/>
          <w:bCs/>
          <w:sz w:val="32"/>
        </w:rPr>
        <w:t xml:space="preserve">    </w:t>
      </w:r>
      <w:r>
        <w:rPr>
          <w:rFonts w:hint="eastAsia" w:ascii="宋体" w:hAnsi="宋体" w:eastAsia="宋体"/>
          <w:b/>
          <w:bCs/>
          <w:sz w:val="32"/>
        </w:rPr>
        <w:t xml:space="preserve">年  </w:t>
      </w:r>
      <w:r>
        <w:rPr>
          <w:rFonts w:ascii="宋体" w:hAnsi="宋体" w:eastAsia="宋体"/>
          <w:b/>
          <w:bCs/>
          <w:sz w:val="32"/>
        </w:rPr>
        <w:t xml:space="preserve">   </w:t>
      </w:r>
      <w:r>
        <w:rPr>
          <w:rFonts w:hint="eastAsia" w:ascii="宋体" w:hAnsi="宋体" w:eastAsia="宋体"/>
          <w:b/>
          <w:bCs/>
          <w:sz w:val="32"/>
        </w:rPr>
        <w:t xml:space="preserve">月   </w:t>
      </w:r>
      <w:r>
        <w:rPr>
          <w:rFonts w:ascii="宋体" w:hAnsi="宋体" w:eastAsia="宋体"/>
          <w:b/>
          <w:bCs/>
          <w:sz w:val="32"/>
        </w:rPr>
        <w:t xml:space="preserve">  </w:t>
      </w:r>
      <w:r>
        <w:rPr>
          <w:rFonts w:hint="eastAsia" w:ascii="宋体" w:hAnsi="宋体" w:eastAsia="宋体"/>
          <w:b/>
          <w:bCs/>
          <w:sz w:val="32"/>
        </w:rPr>
        <w:t>日</w:t>
      </w:r>
    </w:p>
    <w:p w14:paraId="0F7370A7">
      <w:pPr>
        <w:pageBreakBefore w:val="0"/>
        <w:kinsoku/>
        <w:wordWrap/>
        <w:overflowPunct/>
        <w:topLinePunct w:val="0"/>
        <w:autoSpaceDE/>
        <w:autoSpaceDN/>
        <w:bidi w:val="0"/>
        <w:adjustRightInd w:val="0"/>
        <w:snapToGrid w:val="0"/>
        <w:spacing w:line="360" w:lineRule="auto"/>
        <w:ind w:firstLine="435"/>
        <w:jc w:val="center"/>
        <w:rPr>
          <w:rFonts w:hint="eastAsia" w:ascii="宋体" w:hAnsi="宋体" w:eastAsia="宋体"/>
          <w:b/>
          <w:bCs/>
          <w:sz w:val="32"/>
        </w:rPr>
        <w:sectPr>
          <w:headerReference r:id="rId3" w:type="default"/>
          <w:footerReference r:id="rId4" w:type="default"/>
          <w:footerReference r:id="rId5" w:type="even"/>
          <w:pgSz w:w="11906" w:h="16838"/>
          <w:pgMar w:top="1440" w:right="1588" w:bottom="1440" w:left="1588" w:header="851" w:footer="992" w:gutter="0"/>
          <w:cols w:space="425" w:num="1"/>
          <w:docGrid w:type="linesAndChars" w:linePitch="606" w:charSpace="-5328"/>
        </w:sectPr>
      </w:pPr>
      <w:r>
        <w:rPr>
          <w:rFonts w:hint="eastAsia" w:ascii="宋体" w:hAnsi="宋体" w:eastAsia="宋体"/>
          <w:b/>
          <w:bCs/>
          <w:sz w:val="32"/>
        </w:rPr>
        <w:t>上报日期：     年     月     日</w:t>
      </w:r>
    </w:p>
    <w:tbl>
      <w:tblPr>
        <w:tblStyle w:val="8"/>
        <w:tblW w:w="5528" w:type="pct"/>
        <w:tblInd w:w="-601" w:type="dxa"/>
        <w:tblLayout w:type="fixed"/>
        <w:tblCellMar>
          <w:top w:w="0" w:type="dxa"/>
          <w:left w:w="108" w:type="dxa"/>
          <w:bottom w:w="0" w:type="dxa"/>
          <w:right w:w="108" w:type="dxa"/>
        </w:tblCellMar>
      </w:tblPr>
      <w:tblGrid>
        <w:gridCol w:w="1755"/>
        <w:gridCol w:w="514"/>
        <w:gridCol w:w="75"/>
        <w:gridCol w:w="229"/>
        <w:gridCol w:w="67"/>
        <w:gridCol w:w="1185"/>
        <w:gridCol w:w="766"/>
        <w:gridCol w:w="1217"/>
        <w:gridCol w:w="1304"/>
        <w:gridCol w:w="1531"/>
        <w:gridCol w:w="1248"/>
      </w:tblGrid>
      <w:tr w14:paraId="3BA490F4">
        <w:tblPrEx>
          <w:tblCellMar>
            <w:top w:w="0" w:type="dxa"/>
            <w:left w:w="108" w:type="dxa"/>
            <w:bottom w:w="0" w:type="dxa"/>
            <w:right w:w="108" w:type="dxa"/>
          </w:tblCellMar>
        </w:tblPrEx>
        <w:trPr>
          <w:trHeight w:val="411"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276B4C23">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一、项目基本情况 （包括项目概况、实施年限、组织计划等情况）</w:t>
            </w:r>
          </w:p>
        </w:tc>
      </w:tr>
      <w:tr w14:paraId="62A4F5A7">
        <w:tblPrEx>
          <w:tblCellMar>
            <w:top w:w="0" w:type="dxa"/>
            <w:left w:w="108" w:type="dxa"/>
            <w:bottom w:w="0" w:type="dxa"/>
            <w:right w:w="108" w:type="dxa"/>
          </w:tblCellMar>
        </w:tblPrEx>
        <w:trPr>
          <w:trHeight w:val="2175" w:hRule="atLeast"/>
        </w:trPr>
        <w:tc>
          <w:tcPr>
            <w:tcW w:w="5000" w:type="pct"/>
            <w:gridSpan w:val="11"/>
            <w:tcBorders>
              <w:top w:val="single" w:color="auto" w:sz="6" w:space="0"/>
              <w:left w:val="single" w:color="auto" w:sz="6" w:space="0"/>
              <w:bottom w:val="single" w:color="auto" w:sz="4" w:space="0"/>
              <w:right w:val="single" w:color="auto" w:sz="6" w:space="0"/>
            </w:tcBorders>
          </w:tcPr>
          <w:p w14:paraId="3AC549D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1、项目概况</w:t>
            </w:r>
          </w:p>
          <w:p w14:paraId="101B1822">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bookmarkStart w:id="0" w:name="_Toc10439"/>
            <w:r>
              <w:rPr>
                <w:rFonts w:hint="eastAsia" w:ascii="仿宋" w:hAnsi="仿宋" w:eastAsia="仿宋" w:cs="仿宋"/>
                <w:bCs/>
                <w:kern w:val="44"/>
                <w:szCs w:val="30"/>
              </w:rPr>
              <w:t>（1）项目背景</w:t>
            </w:r>
            <w:bookmarkEnd w:id="0"/>
          </w:p>
          <w:p w14:paraId="017AA1FD">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从当今智慧物流行业趋势可以看出，这是一个程序化很强的行业，而大数据则是一种严谨的数据分析技术。两者相结合之下，通过对物流数据的跟踪分析，大数据应用可以根据情况为物流企业做出智能化的决策和建议。在物流行业的决策中，大数据还可能会涉及供应商数据分析、国际海运情况查询、企业征信、物流资源优化与配置等的决策分析，这种情况下利用机器人分析供应链大数据将有助于提供行业竞争力。</w:t>
            </w:r>
          </w:p>
          <w:p w14:paraId="7B33278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再加之国家要求高等学校要把建立和完善物流实战教学体系，作为人才培养方案的重要内容。根据教育部和教育厅关于创新创业的要求，如何改进现有的教学模式，给学生创造更多的实践机会和提高物流实战技能，培养学生的动手能力和自主创新能力，使之成为能够尽快适应社会环境的合格毕业生，是高等教育教学改革的一个重要方向。</w:t>
            </w:r>
            <w:r>
              <w:rPr>
                <w:rFonts w:hint="eastAsia" w:ascii="仿宋" w:hAnsi="仿宋" w:eastAsia="仿宋" w:cs="仿宋"/>
                <w:szCs w:val="30"/>
                <w:lang w:eastAsia="zh-CN"/>
              </w:rPr>
              <w:t>供应链AI大数据教学平台</w:t>
            </w:r>
            <w:r>
              <w:rPr>
                <w:rFonts w:hint="eastAsia" w:ascii="仿宋" w:hAnsi="仿宋" w:eastAsia="仿宋" w:cs="仿宋"/>
                <w:szCs w:val="30"/>
              </w:rPr>
              <w:t>实训是让学生通过 “做”来“学”，学生通过供电商产品供应商选择数据抓取机器人实验</w:t>
            </w:r>
            <w:r>
              <w:rPr>
                <w:rFonts w:hint="eastAsia" w:ascii="仿宋" w:hAnsi="仿宋" w:eastAsia="仿宋" w:cs="仿宋"/>
                <w:szCs w:val="30"/>
                <w:lang w:eastAsia="zh-CN"/>
              </w:rPr>
              <w:t>、</w:t>
            </w:r>
            <w:r>
              <w:rPr>
                <w:rFonts w:hint="eastAsia" w:ascii="仿宋" w:hAnsi="仿宋" w:eastAsia="仿宋" w:cs="仿宋"/>
                <w:szCs w:val="30"/>
              </w:rPr>
              <w:t>供应商评估数据抓取机器人实验</w:t>
            </w:r>
            <w:r>
              <w:rPr>
                <w:rFonts w:hint="eastAsia" w:ascii="仿宋" w:hAnsi="仿宋" w:eastAsia="仿宋" w:cs="仿宋"/>
                <w:szCs w:val="30"/>
                <w:lang w:eastAsia="zh-CN"/>
              </w:rPr>
              <w:t>、</w:t>
            </w:r>
            <w:r>
              <w:rPr>
                <w:rFonts w:hint="eastAsia" w:ascii="仿宋" w:hAnsi="仿宋" w:eastAsia="仿宋" w:cs="仿宋"/>
                <w:szCs w:val="30"/>
              </w:rPr>
              <w:t>企业征信数据抓取机器人实验等</w:t>
            </w:r>
            <w:r>
              <w:rPr>
                <w:rFonts w:hint="eastAsia" w:ascii="仿宋" w:hAnsi="仿宋" w:eastAsia="仿宋" w:cs="仿宋"/>
                <w:szCs w:val="30"/>
                <w:lang w:val="en-US" w:eastAsia="zh-CN"/>
              </w:rPr>
              <w:t>三</w:t>
            </w:r>
            <w:r>
              <w:rPr>
                <w:rFonts w:hint="eastAsia" w:ascii="仿宋" w:hAnsi="仿宋" w:eastAsia="仿宋" w:cs="仿宋"/>
                <w:szCs w:val="30"/>
              </w:rPr>
              <w:t>大实验操作学习，以掌握智慧物流时代自动化机器人的应用。</w:t>
            </w:r>
          </w:p>
          <w:p w14:paraId="454832F7">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bookmarkStart w:id="1" w:name="_Toc28523"/>
            <w:r>
              <w:rPr>
                <w:rFonts w:hint="eastAsia" w:ascii="仿宋" w:hAnsi="仿宋" w:eastAsia="仿宋" w:cs="仿宋"/>
                <w:bCs/>
                <w:kern w:val="44"/>
                <w:szCs w:val="30"/>
              </w:rPr>
              <w:t>（2）目的与要求</w:t>
            </w:r>
            <w:bookmarkEnd w:id="1"/>
          </w:p>
          <w:p w14:paraId="59532857">
            <w:pPr>
              <w:pageBreakBefore w:val="0"/>
              <w:numPr>
                <w:ilvl w:val="0"/>
                <w:numId w:val="1"/>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目的</w:t>
            </w:r>
          </w:p>
          <w:p w14:paraId="7044EA95">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lang w:eastAsia="zh-CN"/>
              </w:rPr>
              <w:t>供应链AI大数据教学平台</w:t>
            </w:r>
            <w:r>
              <w:rPr>
                <w:rFonts w:hint="eastAsia" w:ascii="仿宋" w:hAnsi="仿宋" w:eastAsia="仿宋" w:cs="仿宋"/>
                <w:szCs w:val="30"/>
              </w:rPr>
              <w:t>实验课程针对物流相关专业教学特点及我国现行智慧物流市场的特点而设计，旨在为学生创造一个接近现实的教学实践模拟课程体系，为教师提供多种辅助教学手段，提高学生的专业水平和社会实践能力，争取更大的就业机会。</w:t>
            </w:r>
          </w:p>
          <w:p w14:paraId="47DBE02B">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养成良好的职业习惯：《</w:t>
            </w:r>
            <w:r>
              <w:rPr>
                <w:rFonts w:hint="eastAsia" w:ascii="仿宋" w:hAnsi="仿宋" w:eastAsia="仿宋" w:cs="仿宋"/>
                <w:szCs w:val="30"/>
                <w:lang w:eastAsia="zh-CN"/>
              </w:rPr>
              <w:t>供应链AI大数据教学平台</w:t>
            </w:r>
            <w:r>
              <w:rPr>
                <w:rFonts w:hint="eastAsia" w:ascii="仿宋" w:hAnsi="仿宋" w:eastAsia="仿宋" w:cs="仿宋"/>
                <w:szCs w:val="30"/>
              </w:rPr>
              <w:t>实训》是通过智慧物流理论、数据可视化等相结合的方法，实时自动搜集数据、数字化可视化展示数据的课程。学生通过机器人实验的操作学习，以掌握智慧物流时代自动化机器人的应用，同时可以在校期间就养成良好职业习惯。</w:t>
            </w:r>
          </w:p>
          <w:p w14:paraId="5E3A188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体现以就业为导向的“岗位实训模式”：该实训将实际工作过程与项目教学法、任务驱动教学法、案例教学法、研究式协作学习法有机结合，形成以就业为导向的“岗位实训模式”。</w:t>
            </w:r>
          </w:p>
          <w:p w14:paraId="12F6DE1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凸显了“与现实工作的零距离”：它开阔学生视野，扩大知识领域，改善学习环境，学生通过实验的学习和操作掌握</w:t>
            </w:r>
            <w:r>
              <w:rPr>
                <w:rFonts w:hint="eastAsia" w:ascii="仿宋" w:hAnsi="仿宋" w:eastAsia="仿宋" w:cs="仿宋"/>
                <w:szCs w:val="30"/>
                <w:lang w:eastAsia="zh-CN"/>
              </w:rPr>
              <w:t>供应链AI大数据教学平台</w:t>
            </w:r>
            <w:r>
              <w:rPr>
                <w:rFonts w:hint="eastAsia" w:ascii="仿宋" w:hAnsi="仿宋" w:eastAsia="仿宋" w:cs="仿宋"/>
                <w:szCs w:val="30"/>
              </w:rPr>
              <w:t>的应用。从而深刻领悟实践与理论相结合所带来的成就与意义，凸显了“与现实工作的零距离”。</w:t>
            </w:r>
          </w:p>
          <w:p w14:paraId="1FF5BEEA">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提升学生综合就业能力：通过体验式实战演练和模拟，加强了学生创造能力的培养，学会在实践中发现问题、提炼问题，概括问题、解决问题的综合实力。</w:t>
            </w:r>
          </w:p>
          <w:p w14:paraId="454BE039">
            <w:pPr>
              <w:pageBreakBefore w:val="0"/>
              <w:numPr>
                <w:ilvl w:val="0"/>
                <w:numId w:val="1"/>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要求</w:t>
            </w:r>
          </w:p>
          <w:p w14:paraId="45583FE8">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bookmarkStart w:id="2" w:name="_Toc20965"/>
            <w:r>
              <w:rPr>
                <w:rFonts w:hint="eastAsia" w:ascii="仿宋" w:hAnsi="仿宋" w:eastAsia="仿宋" w:cs="仿宋"/>
                <w:szCs w:val="30"/>
              </w:rPr>
              <w:t>能够掌握智能机器人的设计开发</w:t>
            </w:r>
          </w:p>
          <w:p w14:paraId="71BD5E5C">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能够使用杰科力实训平台创造的机器人进行数据分析</w:t>
            </w:r>
          </w:p>
          <w:p w14:paraId="7D9A2FB8">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能够根据实验教程开发电商产品供应商选择数据抓取机器人</w:t>
            </w:r>
          </w:p>
          <w:p w14:paraId="53204AD1">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能够根据实验教程开发供应商评估数据抓取机器人</w:t>
            </w:r>
          </w:p>
          <w:p w14:paraId="73B40AC9">
            <w:pPr>
              <w:pageBreakBefore w:val="0"/>
              <w:numPr>
                <w:ilvl w:val="0"/>
                <w:numId w:val="2"/>
              </w:numPr>
              <w:kinsoku/>
              <w:wordWrap/>
              <w:overflowPunct/>
              <w:topLinePunct w:val="0"/>
              <w:autoSpaceDE/>
              <w:autoSpaceDN/>
              <w:bidi w:val="0"/>
              <w:adjustRightInd w:val="0"/>
              <w:snapToGrid w:val="0"/>
              <w:spacing w:line="360" w:lineRule="auto"/>
              <w:ind w:left="0" w:firstLine="548" w:firstLineChars="200"/>
              <w:rPr>
                <w:rFonts w:hint="eastAsia" w:ascii="仿宋" w:hAnsi="仿宋" w:eastAsia="仿宋" w:cs="仿宋"/>
                <w:szCs w:val="30"/>
              </w:rPr>
            </w:pPr>
            <w:r>
              <w:rPr>
                <w:rFonts w:hint="eastAsia" w:ascii="仿宋" w:hAnsi="仿宋" w:eastAsia="仿宋" w:cs="仿宋"/>
                <w:szCs w:val="30"/>
              </w:rPr>
              <w:t>能够根据实验教程开发企业征信数据抓取机器人</w:t>
            </w:r>
          </w:p>
          <w:p w14:paraId="1D2B10FA">
            <w:pPr>
              <w:keepNext/>
              <w:keepLines/>
              <w:pageBreakBefore w:val="0"/>
              <w:tabs>
                <w:tab w:val="left" w:pos="0"/>
              </w:tabs>
              <w:kinsoku/>
              <w:wordWrap/>
              <w:overflowPunct/>
              <w:topLinePunct w:val="0"/>
              <w:autoSpaceDE/>
              <w:autoSpaceDN/>
              <w:bidi w:val="0"/>
              <w:adjustRightInd w:val="0"/>
              <w:snapToGrid w:val="0"/>
              <w:spacing w:line="360" w:lineRule="auto"/>
              <w:ind w:left="548" w:leftChars="200"/>
              <w:outlineLvl w:val="0"/>
              <w:rPr>
                <w:rFonts w:hint="eastAsia" w:ascii="仿宋" w:hAnsi="仿宋" w:eastAsia="仿宋" w:cs="仿宋"/>
                <w:bCs/>
                <w:kern w:val="44"/>
                <w:szCs w:val="30"/>
              </w:rPr>
            </w:pPr>
            <w:r>
              <w:rPr>
                <w:rFonts w:hint="eastAsia" w:ascii="仿宋" w:hAnsi="仿宋" w:eastAsia="仿宋" w:cs="仿宋"/>
                <w:bCs/>
                <w:kern w:val="44"/>
                <w:szCs w:val="30"/>
              </w:rPr>
              <w:t>（3）实验项目及内容提要</w:t>
            </w:r>
            <w:bookmarkEnd w:id="2"/>
          </w:p>
          <w:tbl>
            <w:tblPr>
              <w:tblStyle w:val="8"/>
              <w:tblW w:w="966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76"/>
              <w:gridCol w:w="461"/>
              <w:gridCol w:w="1365"/>
              <w:gridCol w:w="640"/>
              <w:gridCol w:w="625"/>
              <w:gridCol w:w="632"/>
              <w:gridCol w:w="563"/>
              <w:gridCol w:w="633"/>
              <w:gridCol w:w="602"/>
              <w:gridCol w:w="606"/>
              <w:gridCol w:w="643"/>
              <w:gridCol w:w="2414"/>
            </w:tblGrid>
            <w:tr w14:paraId="52912E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9660" w:type="dxa"/>
                  <w:gridSpan w:val="12"/>
                  <w:tcBorders>
                    <w:top w:val="single" w:color="auto" w:sz="4" w:space="0"/>
                    <w:left w:val="single" w:color="auto" w:sz="4" w:space="0"/>
                    <w:bottom w:val="single" w:color="auto" w:sz="4" w:space="0"/>
                    <w:right w:val="single" w:color="auto" w:sz="4" w:space="0"/>
                  </w:tcBorders>
                  <w:noWrap w:val="0"/>
                  <w:vAlign w:val="center"/>
                </w:tcPr>
                <w:p w14:paraId="494D7B0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ΧΧΧ实验课程   （课程编号）</w:t>
                  </w:r>
                </w:p>
              </w:tc>
            </w:tr>
            <w:tr w14:paraId="0DAF0A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vMerge w:val="restart"/>
                  <w:tcBorders>
                    <w:top w:val="single" w:color="auto" w:sz="4" w:space="0"/>
                    <w:left w:val="single" w:color="auto" w:sz="4" w:space="0"/>
                    <w:bottom w:val="single" w:color="auto" w:sz="4" w:space="0"/>
                    <w:right w:val="single" w:color="auto" w:sz="4" w:space="0"/>
                  </w:tcBorders>
                  <w:noWrap w:val="0"/>
                  <w:vAlign w:val="center"/>
                </w:tcPr>
                <w:p w14:paraId="2E2DA74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461" w:type="dxa"/>
                  <w:vMerge w:val="restart"/>
                  <w:tcBorders>
                    <w:top w:val="single" w:color="auto" w:sz="4" w:space="0"/>
                    <w:left w:val="single" w:color="auto" w:sz="4" w:space="0"/>
                    <w:bottom w:val="single" w:color="auto" w:sz="4" w:space="0"/>
                    <w:right w:val="single" w:color="auto" w:sz="4" w:space="0"/>
                  </w:tcBorders>
                  <w:noWrap w:val="0"/>
                  <w:vAlign w:val="center"/>
                </w:tcPr>
                <w:p w14:paraId="4413BD8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实验项目编号</w:t>
                  </w:r>
                </w:p>
              </w:tc>
              <w:tc>
                <w:tcPr>
                  <w:tcW w:w="1365" w:type="dxa"/>
                  <w:vMerge w:val="restart"/>
                  <w:tcBorders>
                    <w:top w:val="single" w:color="auto" w:sz="4" w:space="0"/>
                    <w:left w:val="single" w:color="auto" w:sz="4" w:space="0"/>
                    <w:bottom w:val="single" w:color="auto" w:sz="4" w:space="0"/>
                    <w:right w:val="single" w:color="auto" w:sz="4" w:space="0"/>
                  </w:tcBorders>
                  <w:noWrap w:val="0"/>
                  <w:vAlign w:val="center"/>
                </w:tcPr>
                <w:p w14:paraId="591CBB6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实验名称</w:t>
                  </w:r>
                </w:p>
              </w:tc>
              <w:tc>
                <w:tcPr>
                  <w:tcW w:w="640" w:type="dxa"/>
                  <w:vMerge w:val="restart"/>
                  <w:tcBorders>
                    <w:top w:val="single" w:color="auto" w:sz="4" w:space="0"/>
                    <w:left w:val="single" w:color="auto" w:sz="4" w:space="0"/>
                    <w:bottom w:val="single" w:color="auto" w:sz="4" w:space="0"/>
                    <w:right w:val="single" w:color="auto" w:sz="4" w:space="0"/>
                  </w:tcBorders>
                  <w:noWrap w:val="0"/>
                  <w:vAlign w:val="center"/>
                </w:tcPr>
                <w:p w14:paraId="1139B5DB">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学时</w:t>
                  </w:r>
                </w:p>
              </w:tc>
              <w:tc>
                <w:tcPr>
                  <w:tcW w:w="625" w:type="dxa"/>
                  <w:vMerge w:val="restart"/>
                  <w:tcBorders>
                    <w:top w:val="single" w:color="auto" w:sz="4" w:space="0"/>
                    <w:left w:val="single" w:color="auto" w:sz="4" w:space="0"/>
                    <w:bottom w:val="single" w:color="auto" w:sz="4" w:space="0"/>
                    <w:right w:val="single" w:color="auto" w:sz="4" w:space="0"/>
                  </w:tcBorders>
                  <w:noWrap w:val="0"/>
                  <w:vAlign w:val="center"/>
                </w:tcPr>
                <w:p w14:paraId="3FB7B0E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必做</w:t>
                  </w:r>
                </w:p>
              </w:tc>
              <w:tc>
                <w:tcPr>
                  <w:tcW w:w="632" w:type="dxa"/>
                  <w:vMerge w:val="restart"/>
                  <w:tcBorders>
                    <w:top w:val="single" w:color="auto" w:sz="4" w:space="0"/>
                    <w:left w:val="single" w:color="auto" w:sz="4" w:space="0"/>
                    <w:bottom w:val="single" w:color="auto" w:sz="4" w:space="0"/>
                    <w:right w:val="single" w:color="auto" w:sz="4" w:space="0"/>
                  </w:tcBorders>
                  <w:noWrap w:val="0"/>
                  <w:vAlign w:val="center"/>
                </w:tcPr>
                <w:p w14:paraId="41863973">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选做</w:t>
                  </w:r>
                </w:p>
              </w:tc>
              <w:tc>
                <w:tcPr>
                  <w:tcW w:w="563" w:type="dxa"/>
                  <w:vMerge w:val="restart"/>
                  <w:tcBorders>
                    <w:top w:val="single" w:color="auto" w:sz="4" w:space="0"/>
                    <w:left w:val="single" w:color="auto" w:sz="4" w:space="0"/>
                    <w:right w:val="single" w:color="auto" w:sz="4" w:space="0"/>
                  </w:tcBorders>
                  <w:noWrap w:val="0"/>
                  <w:vAlign w:val="center"/>
                </w:tcPr>
                <w:p w14:paraId="0590D21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学分数</w:t>
                  </w:r>
                </w:p>
              </w:tc>
              <w:tc>
                <w:tcPr>
                  <w:tcW w:w="2484" w:type="dxa"/>
                  <w:gridSpan w:val="4"/>
                  <w:tcBorders>
                    <w:top w:val="single" w:color="auto" w:sz="4" w:space="0"/>
                    <w:left w:val="single" w:color="auto" w:sz="4" w:space="0"/>
                    <w:bottom w:val="single" w:color="auto" w:sz="4" w:space="0"/>
                    <w:right w:val="single" w:color="auto" w:sz="4" w:space="0"/>
                  </w:tcBorders>
                  <w:noWrap w:val="0"/>
                  <w:vAlign w:val="center"/>
                </w:tcPr>
                <w:p w14:paraId="7CFF82A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实验类型</w:t>
                  </w:r>
                </w:p>
              </w:tc>
              <w:tc>
                <w:tcPr>
                  <w:tcW w:w="2414" w:type="dxa"/>
                  <w:vMerge w:val="restart"/>
                  <w:tcBorders>
                    <w:top w:val="single" w:color="auto" w:sz="4" w:space="0"/>
                    <w:left w:val="single" w:color="auto" w:sz="4" w:space="0"/>
                    <w:bottom w:val="single" w:color="auto" w:sz="4" w:space="0"/>
                    <w:right w:val="single" w:color="auto" w:sz="4" w:space="0"/>
                  </w:tcBorders>
                  <w:noWrap w:val="0"/>
                  <w:vAlign w:val="center"/>
                </w:tcPr>
                <w:p w14:paraId="3A21CA4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内容提要</w:t>
                  </w:r>
                </w:p>
              </w:tc>
            </w:tr>
            <w:tr w14:paraId="3CA143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vMerge w:val="continue"/>
                  <w:tcBorders>
                    <w:top w:val="single" w:color="auto" w:sz="4" w:space="0"/>
                    <w:left w:val="single" w:color="auto" w:sz="4" w:space="0"/>
                    <w:bottom w:val="single" w:color="auto" w:sz="4" w:space="0"/>
                    <w:right w:val="single" w:color="auto" w:sz="4" w:space="0"/>
                  </w:tcBorders>
                  <w:noWrap w:val="0"/>
                  <w:vAlign w:val="center"/>
                </w:tcPr>
                <w:p w14:paraId="3116C281">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461" w:type="dxa"/>
                  <w:vMerge w:val="continue"/>
                  <w:tcBorders>
                    <w:top w:val="single" w:color="auto" w:sz="4" w:space="0"/>
                    <w:left w:val="single" w:color="auto" w:sz="4" w:space="0"/>
                    <w:bottom w:val="single" w:color="auto" w:sz="4" w:space="0"/>
                    <w:right w:val="single" w:color="auto" w:sz="4" w:space="0"/>
                  </w:tcBorders>
                  <w:noWrap w:val="0"/>
                  <w:vAlign w:val="center"/>
                </w:tcPr>
                <w:p w14:paraId="3082086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noWrap w:val="0"/>
                  <w:vAlign w:val="center"/>
                </w:tcPr>
                <w:p w14:paraId="1708A91E">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40" w:type="dxa"/>
                  <w:vMerge w:val="continue"/>
                  <w:tcBorders>
                    <w:top w:val="single" w:color="auto" w:sz="4" w:space="0"/>
                    <w:left w:val="single" w:color="auto" w:sz="4" w:space="0"/>
                    <w:bottom w:val="single" w:color="auto" w:sz="4" w:space="0"/>
                    <w:right w:val="single" w:color="auto" w:sz="4" w:space="0"/>
                  </w:tcBorders>
                  <w:noWrap w:val="0"/>
                  <w:vAlign w:val="center"/>
                </w:tcPr>
                <w:p w14:paraId="5E7C8F7A">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25" w:type="dxa"/>
                  <w:vMerge w:val="continue"/>
                  <w:tcBorders>
                    <w:top w:val="single" w:color="auto" w:sz="4" w:space="0"/>
                    <w:left w:val="single" w:color="auto" w:sz="4" w:space="0"/>
                    <w:bottom w:val="single" w:color="auto" w:sz="4" w:space="0"/>
                    <w:right w:val="single" w:color="auto" w:sz="4" w:space="0"/>
                  </w:tcBorders>
                  <w:noWrap w:val="0"/>
                  <w:vAlign w:val="center"/>
                </w:tcPr>
                <w:p w14:paraId="3B894889">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632" w:type="dxa"/>
                  <w:vMerge w:val="continue"/>
                  <w:tcBorders>
                    <w:top w:val="single" w:color="auto" w:sz="4" w:space="0"/>
                    <w:left w:val="single" w:color="auto" w:sz="4" w:space="0"/>
                    <w:bottom w:val="single" w:color="auto" w:sz="4" w:space="0"/>
                    <w:right w:val="single" w:color="auto" w:sz="4" w:space="0"/>
                  </w:tcBorders>
                  <w:noWrap w:val="0"/>
                  <w:vAlign w:val="center"/>
                </w:tcPr>
                <w:p w14:paraId="4965D03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c>
                <w:tcPr>
                  <w:tcW w:w="563" w:type="dxa"/>
                  <w:vMerge w:val="continue"/>
                  <w:tcBorders>
                    <w:left w:val="single" w:color="auto" w:sz="4" w:space="0"/>
                    <w:bottom w:val="single" w:color="auto" w:sz="4" w:space="0"/>
                    <w:right w:val="single" w:color="auto" w:sz="4" w:space="0"/>
                  </w:tcBorders>
                  <w:noWrap w:val="0"/>
                  <w:vAlign w:val="center"/>
                </w:tcPr>
                <w:p w14:paraId="1D57E103">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6124CF94">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基本操作</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27A7B0FB">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验证</w:t>
                  </w:r>
                </w:p>
              </w:tc>
              <w:tc>
                <w:tcPr>
                  <w:tcW w:w="606" w:type="dxa"/>
                  <w:tcBorders>
                    <w:top w:val="single" w:color="auto" w:sz="4" w:space="0"/>
                    <w:left w:val="single" w:color="auto" w:sz="4" w:space="0"/>
                    <w:bottom w:val="single" w:color="auto" w:sz="4" w:space="0"/>
                    <w:right w:val="single" w:color="auto" w:sz="4" w:space="0"/>
                  </w:tcBorders>
                  <w:noWrap w:val="0"/>
                  <w:vAlign w:val="center"/>
                </w:tcPr>
                <w:p w14:paraId="3C67C104">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综合</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64C64172">
                  <w:pPr>
                    <w:pageBreakBefore w:val="0"/>
                    <w:kinsoku/>
                    <w:wordWrap/>
                    <w:overflowPunct/>
                    <w:topLinePunct w:val="0"/>
                    <w:autoSpaceDE/>
                    <w:autoSpaceDN/>
                    <w:bidi w:val="0"/>
                    <w:adjustRightInd w:val="0"/>
                    <w:snapToGrid w:val="0"/>
                    <w:spacing w:line="360" w:lineRule="auto"/>
                    <w:ind w:left="72" w:hanging="102" w:hangingChars="40"/>
                    <w:jc w:val="center"/>
                    <w:rPr>
                      <w:rFonts w:hint="eastAsia" w:ascii="仿宋" w:hAnsi="仿宋" w:eastAsia="仿宋" w:cs="仿宋"/>
                      <w:sz w:val="28"/>
                      <w:szCs w:val="28"/>
                    </w:rPr>
                  </w:pPr>
                  <w:r>
                    <w:rPr>
                      <w:rFonts w:hint="eastAsia" w:ascii="仿宋" w:hAnsi="仿宋" w:eastAsia="仿宋" w:cs="仿宋"/>
                      <w:sz w:val="28"/>
                      <w:szCs w:val="28"/>
                    </w:rPr>
                    <w:t>设计</w:t>
                  </w:r>
                </w:p>
              </w:tc>
              <w:tc>
                <w:tcPr>
                  <w:tcW w:w="2414" w:type="dxa"/>
                  <w:vMerge w:val="continue"/>
                  <w:tcBorders>
                    <w:top w:val="single" w:color="auto" w:sz="4" w:space="0"/>
                    <w:left w:val="single" w:color="auto" w:sz="4" w:space="0"/>
                    <w:bottom w:val="single" w:color="auto" w:sz="4" w:space="0"/>
                    <w:right w:val="single" w:color="auto" w:sz="4" w:space="0"/>
                  </w:tcBorders>
                  <w:noWrap w:val="0"/>
                  <w:vAlign w:val="center"/>
                </w:tcPr>
                <w:p w14:paraId="229CA16D">
                  <w:pPr>
                    <w:pageBreakBefore w:val="0"/>
                    <w:widowControl/>
                    <w:kinsoku/>
                    <w:wordWrap/>
                    <w:overflowPunct/>
                    <w:topLinePunct w:val="0"/>
                    <w:autoSpaceDE/>
                    <w:autoSpaceDN/>
                    <w:bidi w:val="0"/>
                    <w:adjustRightInd w:val="0"/>
                    <w:snapToGrid w:val="0"/>
                    <w:spacing w:line="360" w:lineRule="auto"/>
                    <w:jc w:val="left"/>
                    <w:rPr>
                      <w:rFonts w:hint="eastAsia" w:ascii="仿宋" w:hAnsi="仿宋" w:eastAsia="仿宋" w:cs="仿宋"/>
                      <w:sz w:val="28"/>
                      <w:szCs w:val="28"/>
                    </w:rPr>
                  </w:pPr>
                </w:p>
              </w:tc>
            </w:tr>
            <w:tr w14:paraId="0CDD05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47C71A2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1</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6BE6CBF8">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134ECC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杰科力数据机器人实训平台软件基础技术学习</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C59B45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3D73F40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2C9AE309">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563" w:type="dxa"/>
                  <w:tcBorders>
                    <w:left w:val="single" w:color="auto" w:sz="4" w:space="0"/>
                    <w:bottom w:val="single" w:color="auto" w:sz="4" w:space="0"/>
                    <w:right w:val="single" w:color="auto" w:sz="4" w:space="0"/>
                  </w:tcBorders>
                  <w:noWrap w:val="0"/>
                  <w:vAlign w:val="center"/>
                </w:tcPr>
                <w:p w14:paraId="12F93DD8">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4100DE04">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64D6B4B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5AED6F3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53A66E46">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D042D5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实训平台界面介绍及使用</w:t>
                  </w:r>
                </w:p>
              </w:tc>
            </w:tr>
            <w:tr w14:paraId="1CEFC0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3710A8F3">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2</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150193A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713D4E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lang w:eastAsia="zh-CN"/>
                    </w:rPr>
                    <w:t>电商产品供应商选择数据抓取机器人实验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42931E06">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0F05754B">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3DD305F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2F000B7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7E6182C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6A8942B8">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4C40964E">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1A0955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600C37D0">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通过机器人自动化数据爬虫获取电商产品的供应商信息以及其信用数据，快速定位符合要求的供应商，提高产品供货保障</w:t>
                  </w:r>
                </w:p>
              </w:tc>
            </w:tr>
            <w:tr w14:paraId="51A74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1878FD0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3</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012A0794">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A726497">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供应商评估数据抓取机器人实验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C290D02">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4362B54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7FB9D8F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154829E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4F2BEB7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2F00DFFD">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06D982FD">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7D9F026E">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9B19DF0">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通过机器人数据语言爬取各平台供应商数据，进行数据采集、整理、录入等操作，获取供应商评估各方面数据信息并读入到excel表格中</w:t>
                  </w:r>
                </w:p>
              </w:tc>
            </w:tr>
            <w:tr w14:paraId="57DCC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476" w:type="dxa"/>
                  <w:tcBorders>
                    <w:top w:val="single" w:color="auto" w:sz="4" w:space="0"/>
                    <w:left w:val="single" w:color="auto" w:sz="4" w:space="0"/>
                    <w:bottom w:val="single" w:color="auto" w:sz="4" w:space="0"/>
                    <w:right w:val="single" w:color="auto" w:sz="4" w:space="0"/>
                  </w:tcBorders>
                  <w:noWrap w:val="0"/>
                  <w:vAlign w:val="center"/>
                </w:tcPr>
                <w:p w14:paraId="486D90F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4</w:t>
                  </w:r>
                </w:p>
              </w:tc>
              <w:tc>
                <w:tcPr>
                  <w:tcW w:w="461" w:type="dxa"/>
                  <w:tcBorders>
                    <w:top w:val="single" w:color="auto" w:sz="4" w:space="0"/>
                    <w:left w:val="single" w:color="auto" w:sz="4" w:space="0"/>
                    <w:bottom w:val="single" w:color="auto" w:sz="4" w:space="0"/>
                    <w:right w:val="single" w:color="auto" w:sz="4" w:space="0"/>
                  </w:tcBorders>
                  <w:noWrap w:val="0"/>
                  <w:vAlign w:val="center"/>
                </w:tcPr>
                <w:p w14:paraId="5D6DC70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AA4F4C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eastAsia="zh-CN"/>
                    </w:rPr>
                    <w:t>企业征信数据抓取机器人实验</w:t>
                  </w:r>
                </w:p>
              </w:tc>
              <w:tc>
                <w:tcPr>
                  <w:tcW w:w="640" w:type="dxa"/>
                  <w:tcBorders>
                    <w:top w:val="single" w:color="auto" w:sz="4" w:space="0"/>
                    <w:left w:val="single" w:color="auto" w:sz="4" w:space="0"/>
                    <w:bottom w:val="single" w:color="auto" w:sz="4" w:space="0"/>
                    <w:right w:val="single" w:color="auto" w:sz="4" w:space="0"/>
                  </w:tcBorders>
                  <w:noWrap w:val="0"/>
                  <w:vAlign w:val="center"/>
                </w:tcPr>
                <w:p w14:paraId="70375741">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8</w:t>
                  </w:r>
                </w:p>
              </w:tc>
              <w:tc>
                <w:tcPr>
                  <w:tcW w:w="625" w:type="dxa"/>
                  <w:tcBorders>
                    <w:top w:val="single" w:color="auto" w:sz="4" w:space="0"/>
                    <w:left w:val="single" w:color="auto" w:sz="4" w:space="0"/>
                    <w:bottom w:val="single" w:color="auto" w:sz="4" w:space="0"/>
                    <w:right w:val="single" w:color="auto" w:sz="4" w:space="0"/>
                  </w:tcBorders>
                  <w:noWrap w:val="0"/>
                  <w:vAlign w:val="center"/>
                </w:tcPr>
                <w:p w14:paraId="248556B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32" w:type="dxa"/>
                  <w:tcBorders>
                    <w:top w:val="single" w:color="auto" w:sz="4" w:space="0"/>
                    <w:left w:val="single" w:color="auto" w:sz="4" w:space="0"/>
                    <w:bottom w:val="single" w:color="auto" w:sz="4" w:space="0"/>
                    <w:right w:val="single" w:color="auto" w:sz="4" w:space="0"/>
                  </w:tcBorders>
                  <w:noWrap w:val="0"/>
                  <w:vAlign w:val="center"/>
                </w:tcPr>
                <w:p w14:paraId="789F9AB8">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563" w:type="dxa"/>
                  <w:tcBorders>
                    <w:top w:val="single" w:color="auto" w:sz="4" w:space="0"/>
                    <w:left w:val="single" w:color="auto" w:sz="4" w:space="0"/>
                    <w:bottom w:val="single" w:color="auto" w:sz="4" w:space="0"/>
                    <w:right w:val="single" w:color="auto" w:sz="4" w:space="0"/>
                  </w:tcBorders>
                  <w:noWrap w:val="0"/>
                  <w:vAlign w:val="center"/>
                </w:tcPr>
                <w:p w14:paraId="7D143058">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33" w:type="dxa"/>
                  <w:tcBorders>
                    <w:top w:val="single" w:color="auto" w:sz="4" w:space="0"/>
                    <w:left w:val="single" w:color="auto" w:sz="4" w:space="0"/>
                    <w:bottom w:val="single" w:color="auto" w:sz="4" w:space="0"/>
                    <w:right w:val="single" w:color="auto" w:sz="4" w:space="0"/>
                  </w:tcBorders>
                  <w:noWrap w:val="0"/>
                  <w:vAlign w:val="center"/>
                </w:tcPr>
                <w:p w14:paraId="3E0EB4A3">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1D97DF16">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606" w:type="dxa"/>
                  <w:tcBorders>
                    <w:top w:val="single" w:color="auto" w:sz="4" w:space="0"/>
                    <w:left w:val="single" w:color="auto" w:sz="4" w:space="0"/>
                    <w:bottom w:val="single" w:color="auto" w:sz="4" w:space="0"/>
                    <w:right w:val="single" w:color="auto" w:sz="4" w:space="0"/>
                  </w:tcBorders>
                  <w:noWrap w:val="0"/>
                  <w:vAlign w:val="center"/>
                </w:tcPr>
                <w:p w14:paraId="79696F59">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w:t>
                  </w:r>
                </w:p>
              </w:tc>
              <w:tc>
                <w:tcPr>
                  <w:tcW w:w="643" w:type="dxa"/>
                  <w:tcBorders>
                    <w:top w:val="single" w:color="auto" w:sz="4" w:space="0"/>
                    <w:left w:val="single" w:color="auto" w:sz="4" w:space="0"/>
                    <w:bottom w:val="single" w:color="auto" w:sz="4" w:space="0"/>
                    <w:right w:val="single" w:color="auto" w:sz="4" w:space="0"/>
                  </w:tcBorders>
                  <w:noWrap w:val="0"/>
                  <w:vAlign w:val="center"/>
                </w:tcPr>
                <w:p w14:paraId="0142FDB4">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p>
              </w:tc>
              <w:tc>
                <w:tcPr>
                  <w:tcW w:w="2414" w:type="dxa"/>
                  <w:tcBorders>
                    <w:top w:val="single" w:color="auto" w:sz="4" w:space="0"/>
                    <w:left w:val="single" w:color="auto" w:sz="4" w:space="0"/>
                    <w:bottom w:val="single" w:color="auto" w:sz="4" w:space="0"/>
                    <w:right w:val="single" w:color="auto" w:sz="4" w:space="0"/>
                  </w:tcBorders>
                  <w:noWrap w:val="0"/>
                  <w:vAlign w:val="center"/>
                </w:tcPr>
                <w:p w14:paraId="2DB56317">
                  <w:pPr>
                    <w:pageBreakBefore w:val="0"/>
                    <w:kinsoku/>
                    <w:wordWrap/>
                    <w:overflowPunct/>
                    <w:topLinePunct w:val="0"/>
                    <w:autoSpaceDE/>
                    <w:autoSpaceDN/>
                    <w:bidi w:val="0"/>
                    <w:adjustRightInd w:val="0"/>
                    <w:snapToGrid w:val="0"/>
                    <w:spacing w:line="360" w:lineRule="auto"/>
                    <w:rPr>
                      <w:rFonts w:hint="eastAsia" w:ascii="仿宋" w:hAnsi="仿宋" w:eastAsia="仿宋" w:cs="仿宋"/>
                      <w:kern w:val="2"/>
                      <w:sz w:val="28"/>
                      <w:szCs w:val="28"/>
                      <w:lang w:val="en-US" w:eastAsia="zh-CN" w:bidi="ar-SA"/>
                    </w:rPr>
                  </w:pPr>
                  <w:r>
                    <w:rPr>
                      <w:rFonts w:hint="eastAsia" w:ascii="仿宋" w:hAnsi="仿宋" w:eastAsia="仿宋" w:cs="仿宋"/>
                      <w:sz w:val="28"/>
                      <w:szCs w:val="28"/>
                    </w:rPr>
                    <w:t>机器人通过分析中国政府采购网、广东税务网的相关关键词，利用数据爬虫，查询各企业信用信息，并根据查询结果，为每家企业编制信用报告</w:t>
                  </w:r>
                </w:p>
              </w:tc>
            </w:tr>
          </w:tbl>
          <w:p w14:paraId="1A29E388">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2、实施年限</w:t>
            </w:r>
          </w:p>
          <w:p w14:paraId="47F228F9">
            <w:pPr>
              <w:pageBreakBefore w:val="0"/>
              <w:kinsoku/>
              <w:wordWrap/>
              <w:overflowPunct/>
              <w:topLinePunct w:val="0"/>
              <w:autoSpaceDE/>
              <w:autoSpaceDN/>
              <w:bidi w:val="0"/>
              <w:adjustRightInd w:val="0"/>
              <w:snapToGrid w:val="0"/>
              <w:spacing w:line="360" w:lineRule="auto"/>
              <w:ind w:left="420"/>
              <w:rPr>
                <w:rFonts w:hint="eastAsia" w:ascii="仿宋" w:hAnsi="仿宋" w:eastAsia="仿宋" w:cs="仿宋"/>
                <w:szCs w:val="30"/>
              </w:rPr>
            </w:pPr>
            <w:r>
              <w:rPr>
                <w:rFonts w:hint="eastAsia" w:ascii="仿宋" w:hAnsi="仿宋" w:eastAsia="仿宋" w:cs="仿宋"/>
                <w:szCs w:val="30"/>
              </w:rPr>
              <w:t>按照项目组织计划安排，预计实施年限为2022年9月-2023年2月。</w:t>
            </w:r>
          </w:p>
          <w:p w14:paraId="65A96F67">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3、组织计划</w:t>
            </w:r>
          </w:p>
          <w:p w14:paraId="0351068A">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2022年9月完成认证</w:t>
            </w:r>
          </w:p>
          <w:p w14:paraId="2F51D59F">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2022年10月完成立项</w:t>
            </w:r>
          </w:p>
          <w:p w14:paraId="411ED175">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2020年11月启动采购</w:t>
            </w:r>
          </w:p>
          <w:p w14:paraId="678A4209">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2022年12月完成招标采购</w:t>
            </w:r>
          </w:p>
          <w:p w14:paraId="3473C82E">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zCs w:val="30"/>
              </w:rPr>
            </w:pPr>
            <w:r>
              <w:rPr>
                <w:rFonts w:hint="eastAsia" w:ascii="仿宋" w:hAnsi="仿宋" w:eastAsia="仿宋" w:cs="仿宋"/>
                <w:szCs w:val="30"/>
              </w:rPr>
              <w:t>2023年1月完成供货、培训与验收</w:t>
            </w:r>
          </w:p>
          <w:p w14:paraId="600BC464">
            <w:pPr>
              <w:pageBreakBefore w:val="0"/>
              <w:numPr>
                <w:ilvl w:val="0"/>
                <w:numId w:val="3"/>
              </w:numPr>
              <w:kinsoku/>
              <w:wordWrap/>
              <w:overflowPunct/>
              <w:topLinePunct w:val="0"/>
              <w:autoSpaceDE/>
              <w:autoSpaceDN/>
              <w:bidi w:val="0"/>
              <w:adjustRightInd w:val="0"/>
              <w:snapToGrid w:val="0"/>
              <w:spacing w:line="360" w:lineRule="auto"/>
              <w:ind w:left="0" w:firstLine="420"/>
              <w:rPr>
                <w:rFonts w:hint="eastAsia" w:ascii="仿宋" w:hAnsi="仿宋" w:eastAsia="仿宋" w:cs="仿宋"/>
                <w:spacing w:val="2"/>
                <w:kern w:val="0"/>
                <w:szCs w:val="21"/>
              </w:rPr>
            </w:pPr>
            <w:r>
              <w:rPr>
                <w:rFonts w:hint="eastAsia" w:ascii="仿宋" w:hAnsi="仿宋" w:eastAsia="仿宋" w:cs="仿宋"/>
                <w:szCs w:val="30"/>
              </w:rPr>
              <w:t>2023年2月正式上课使用</w:t>
            </w:r>
          </w:p>
          <w:p w14:paraId="1E7B6960">
            <w:pPr>
              <w:pageBreakBefore w:val="0"/>
              <w:kinsoku/>
              <w:wordWrap/>
              <w:overflowPunct/>
              <w:topLinePunct w:val="0"/>
              <w:autoSpaceDE/>
              <w:autoSpaceDN/>
              <w:bidi w:val="0"/>
              <w:adjustRightInd w:val="0"/>
              <w:snapToGrid w:val="0"/>
              <w:spacing w:line="360" w:lineRule="auto"/>
              <w:ind w:firstLine="556" w:firstLineChars="200"/>
              <w:rPr>
                <w:rFonts w:hint="eastAsia" w:ascii="宋体" w:hAnsi="宋体" w:cs="黑体"/>
                <w:spacing w:val="2"/>
                <w:kern w:val="0"/>
                <w:szCs w:val="21"/>
              </w:rPr>
            </w:pPr>
          </w:p>
        </w:tc>
      </w:tr>
      <w:tr w14:paraId="6A58916A">
        <w:tblPrEx>
          <w:tblCellMar>
            <w:top w:w="0" w:type="dxa"/>
            <w:left w:w="108" w:type="dxa"/>
            <w:bottom w:w="0" w:type="dxa"/>
            <w:right w:w="108" w:type="dxa"/>
          </w:tblCellMar>
        </w:tblPrEx>
        <w:trPr>
          <w:trHeight w:val="390" w:hRule="atLeast"/>
        </w:trPr>
        <w:tc>
          <w:tcPr>
            <w:tcW w:w="5000" w:type="pct"/>
            <w:gridSpan w:val="11"/>
            <w:tcBorders>
              <w:top w:val="single" w:color="auto" w:sz="4" w:space="0"/>
              <w:left w:val="single" w:color="auto" w:sz="6" w:space="0"/>
              <w:bottom w:val="single" w:color="auto" w:sz="4" w:space="0"/>
              <w:right w:val="single" w:color="auto" w:sz="6" w:space="0"/>
            </w:tcBorders>
          </w:tcPr>
          <w:p w14:paraId="5FA6E2A8">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r>
              <w:rPr>
                <w:rFonts w:hint="eastAsia" w:ascii="黑体" w:hAnsi="黑体" w:eastAsia="黑体" w:cs="黑体"/>
                <w:spacing w:val="2"/>
                <w:kern w:val="0"/>
                <w:szCs w:val="21"/>
              </w:rPr>
              <w:t>二、绩效目标</w:t>
            </w:r>
          </w:p>
        </w:tc>
      </w:tr>
      <w:tr w14:paraId="62A49F66">
        <w:tblPrEx>
          <w:tblCellMar>
            <w:top w:w="0" w:type="dxa"/>
            <w:left w:w="108" w:type="dxa"/>
            <w:bottom w:w="0" w:type="dxa"/>
            <w:right w:w="108" w:type="dxa"/>
          </w:tblCellMar>
        </w:tblPrEx>
        <w:trPr>
          <w:trHeight w:val="1395" w:hRule="atLeast"/>
        </w:trPr>
        <w:tc>
          <w:tcPr>
            <w:tcW w:w="1185" w:type="pct"/>
            <w:gridSpan w:val="3"/>
            <w:tcBorders>
              <w:top w:val="single" w:color="auto" w:sz="4" w:space="0"/>
              <w:left w:val="single" w:color="auto" w:sz="6" w:space="0"/>
              <w:bottom w:val="single" w:color="auto" w:sz="6" w:space="0"/>
              <w:right w:val="single" w:color="auto" w:sz="4" w:space="0"/>
            </w:tcBorders>
          </w:tcPr>
          <w:p w14:paraId="6A5FA7EF">
            <w:pPr>
              <w:pageBreakBefore w:val="0"/>
              <w:kinsoku/>
              <w:wordWrap/>
              <w:overflowPunct/>
              <w:topLinePunct w:val="0"/>
              <w:autoSpaceDE/>
              <w:autoSpaceDN/>
              <w:bidi w:val="0"/>
              <w:adjustRightInd w:val="0"/>
              <w:snapToGrid w:val="0"/>
              <w:spacing w:line="360" w:lineRule="auto"/>
              <w:jc w:val="center"/>
              <w:rPr>
                <w:rFonts w:hint="eastAsia" w:ascii="宋体" w:hAnsi="宋体" w:cs="黑体"/>
                <w:szCs w:val="21"/>
              </w:rPr>
            </w:pPr>
            <w:r>
              <w:rPr>
                <w:rFonts w:hint="eastAsia" w:ascii="仿宋" w:hAnsi="仿宋" w:eastAsia="仿宋" w:cs="仿宋"/>
                <w:spacing w:val="2"/>
                <w:kern w:val="0"/>
                <w:szCs w:val="21"/>
              </w:rPr>
              <w:t>总体目标</w:t>
            </w:r>
          </w:p>
        </w:tc>
        <w:tc>
          <w:tcPr>
            <w:tcW w:w="3814" w:type="pct"/>
            <w:gridSpan w:val="8"/>
            <w:tcBorders>
              <w:top w:val="single" w:color="auto" w:sz="4" w:space="0"/>
              <w:left w:val="single" w:color="auto" w:sz="4" w:space="0"/>
              <w:bottom w:val="single" w:color="auto" w:sz="6" w:space="0"/>
              <w:right w:val="single" w:color="auto" w:sz="6" w:space="0"/>
            </w:tcBorders>
          </w:tcPr>
          <w:p w14:paraId="6D901074">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1、解决长期困扰我们的多课程大数据实验教学平台问题。</w:t>
            </w:r>
          </w:p>
          <w:p w14:paraId="5888306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》融合物流专业的多门大数据分析课程，建立供应链大数据分析实验教学平台。</w:t>
            </w:r>
          </w:p>
          <w:p w14:paraId="6E75B7CD">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2、填补企业学生的实习实训空白</w:t>
            </w:r>
          </w:p>
          <w:p w14:paraId="78E33792">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智能数据机器人实训已成为智慧物流专业实训体系的一部分，现在市面上已有数据挖掘和机器人学习实训、分析决策实训、大数据实训、智能操作实训等，</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属于智能数据机器人实训一部分。此系统有助于提高学生自主设计数字机器人的编程能力、的数据获取与清洗能力、数据分析与挖掘能力以及数据可视化及分析能力。</w:t>
            </w:r>
          </w:p>
          <w:p w14:paraId="033B89BE">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3、提升学生实践能力与就业发展空间</w:t>
            </w:r>
          </w:p>
          <w:p w14:paraId="79FC6108">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通过体验式实践演练和模拟，加强了学生创造能力培养，学会在实践中发现问题、提炼问题，概括问题、解决问题综合实力。从兄弟院校经验看，与没有开这些实验项目相比，学生明显对商业银行业务熟悉很多，能比较系统地讲出供应链大数据分析的关键点与技巧，尤其对物流业务的核心因素有良好的心得和体会，入职后的发展空间比其他院校大很多。</w:t>
            </w:r>
          </w:p>
          <w:p w14:paraId="505F7B67">
            <w:pPr>
              <w:pageBreakBefore w:val="0"/>
              <w:kinsoku/>
              <w:wordWrap/>
              <w:overflowPunct/>
              <w:topLinePunct w:val="0"/>
              <w:autoSpaceDE/>
              <w:autoSpaceDN/>
              <w:bidi w:val="0"/>
              <w:adjustRightInd w:val="0"/>
              <w:snapToGrid w:val="0"/>
              <w:spacing w:line="360" w:lineRule="auto"/>
              <w:ind w:firstLine="556" w:firstLineChars="200"/>
              <w:rPr>
                <w:rFonts w:hint="eastAsia" w:ascii="仿宋" w:hAnsi="仿宋" w:eastAsia="仿宋" w:cs="仿宋"/>
                <w:spacing w:val="2"/>
                <w:kern w:val="0"/>
                <w:szCs w:val="30"/>
              </w:rPr>
            </w:pPr>
            <w:r>
              <w:rPr>
                <w:rFonts w:hint="eastAsia" w:ascii="仿宋" w:hAnsi="仿宋" w:eastAsia="仿宋" w:cs="仿宋"/>
                <w:spacing w:val="2"/>
                <w:kern w:val="0"/>
                <w:szCs w:val="30"/>
              </w:rPr>
              <w:t>4、为申报各项教学成果打下基础</w:t>
            </w:r>
          </w:p>
          <w:p w14:paraId="79A6E371">
            <w:pPr>
              <w:pageBreakBefore w:val="0"/>
              <w:kinsoku/>
              <w:wordWrap/>
              <w:overflowPunct/>
              <w:topLinePunct w:val="0"/>
              <w:autoSpaceDE/>
              <w:autoSpaceDN/>
              <w:bidi w:val="0"/>
              <w:adjustRightInd w:val="0"/>
              <w:snapToGrid w:val="0"/>
              <w:spacing w:line="360" w:lineRule="auto"/>
              <w:ind w:firstLine="556" w:firstLineChars="200"/>
              <w:rPr>
                <w:rFonts w:hint="eastAsia" w:ascii="宋体" w:hAnsi="宋体" w:cs="黑体"/>
                <w:szCs w:val="21"/>
              </w:rPr>
            </w:pPr>
            <w:r>
              <w:rPr>
                <w:rFonts w:hint="eastAsia" w:ascii="仿宋" w:hAnsi="仿宋" w:eastAsia="仿宋" w:cs="仿宋"/>
                <w:spacing w:val="2"/>
                <w:kern w:val="0"/>
                <w:szCs w:val="30"/>
              </w:rPr>
              <w:t>《</w:t>
            </w:r>
            <w:r>
              <w:rPr>
                <w:rFonts w:hint="eastAsia" w:ascii="仿宋" w:hAnsi="仿宋" w:eastAsia="仿宋" w:cs="仿宋"/>
                <w:spacing w:val="2"/>
                <w:kern w:val="0"/>
                <w:szCs w:val="30"/>
                <w:lang w:eastAsia="zh-CN"/>
              </w:rPr>
              <w:t>供应链AI大数据教学平台</w:t>
            </w:r>
            <w:r>
              <w:rPr>
                <w:rFonts w:hint="eastAsia" w:ascii="仿宋" w:hAnsi="仿宋" w:eastAsia="仿宋" w:cs="仿宋"/>
                <w:spacing w:val="2"/>
                <w:kern w:val="0"/>
                <w:szCs w:val="30"/>
              </w:rPr>
              <w:t>》是国内较新颖智能数据机器人实训实验课程，在我省应用尚不多，应抓住机会，申报省级教改项目、教学成果、教材出版等，为我校在该领域建立教学的典范。</w:t>
            </w:r>
          </w:p>
        </w:tc>
      </w:tr>
      <w:tr w14:paraId="5D009563">
        <w:tblPrEx>
          <w:tblCellMar>
            <w:top w:w="0" w:type="dxa"/>
            <w:left w:w="108" w:type="dxa"/>
            <w:bottom w:w="0" w:type="dxa"/>
            <w:right w:w="108" w:type="dxa"/>
          </w:tblCellMar>
        </w:tblPrEx>
        <w:trPr>
          <w:trHeight w:val="900" w:hRule="atLeast"/>
        </w:trPr>
        <w:tc>
          <w:tcPr>
            <w:tcW w:w="1185" w:type="pct"/>
            <w:gridSpan w:val="3"/>
            <w:tcBorders>
              <w:top w:val="single" w:color="auto" w:sz="4" w:space="0"/>
              <w:left w:val="single" w:color="auto" w:sz="6" w:space="0"/>
              <w:bottom w:val="single" w:color="auto" w:sz="4" w:space="0"/>
              <w:right w:val="single" w:color="auto" w:sz="4" w:space="0"/>
            </w:tcBorders>
          </w:tcPr>
          <w:p w14:paraId="0654267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产出目标</w:t>
            </w:r>
          </w:p>
          <w:p w14:paraId="531B5626">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p>
        </w:tc>
        <w:tc>
          <w:tcPr>
            <w:tcW w:w="3814" w:type="pct"/>
            <w:gridSpan w:val="8"/>
            <w:tcBorders>
              <w:top w:val="single" w:color="auto" w:sz="4" w:space="0"/>
              <w:left w:val="single" w:color="auto" w:sz="4" w:space="0"/>
              <w:bottom w:val="single" w:color="auto" w:sz="4" w:space="0"/>
              <w:right w:val="single" w:color="auto" w:sz="6" w:space="0"/>
            </w:tcBorders>
          </w:tcPr>
          <w:tbl>
            <w:tblPr>
              <w:tblStyle w:val="8"/>
              <w:tblW w:w="7159" w:type="dxa"/>
              <w:tblInd w:w="15" w:type="dxa"/>
              <w:tblLayout w:type="fixed"/>
              <w:tblCellMar>
                <w:top w:w="0" w:type="dxa"/>
                <w:left w:w="0" w:type="dxa"/>
                <w:bottom w:w="0" w:type="dxa"/>
                <w:right w:w="0" w:type="dxa"/>
              </w:tblCellMar>
            </w:tblPr>
            <w:tblGrid>
              <w:gridCol w:w="1137"/>
              <w:gridCol w:w="1248"/>
              <w:gridCol w:w="2387"/>
              <w:gridCol w:w="2387"/>
            </w:tblGrid>
            <w:tr w14:paraId="4BB36430">
              <w:tblPrEx>
                <w:tblCellMar>
                  <w:top w:w="0" w:type="dxa"/>
                  <w:left w:w="0" w:type="dxa"/>
                  <w:bottom w:w="0" w:type="dxa"/>
                  <w:right w:w="0" w:type="dxa"/>
                </w:tblCellMar>
              </w:tblPrEx>
              <w:trPr>
                <w:trHeight w:val="488" w:hRule="atLeast"/>
              </w:trPr>
              <w:tc>
                <w:tcPr>
                  <w:tcW w:w="11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E60F3E">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2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230F4E">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068454">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CB7B06">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177309E6">
              <w:tblPrEx>
                <w:tblCellMar>
                  <w:top w:w="0" w:type="dxa"/>
                  <w:left w:w="0" w:type="dxa"/>
                  <w:bottom w:w="0" w:type="dxa"/>
                  <w:right w:w="0" w:type="dxa"/>
                </w:tblCellMar>
              </w:tblPrEx>
              <w:trPr>
                <w:trHeight w:val="950" w:hRule="atLeast"/>
              </w:trPr>
              <w:tc>
                <w:tcPr>
                  <w:tcW w:w="113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97148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产出指标</w:t>
                  </w: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BD341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数量指标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2C8AC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每学年承担实验教学计划内学时数(48课时×班级数量)</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51F24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≥192</w:t>
                  </w:r>
                </w:p>
              </w:tc>
            </w:tr>
            <w:tr w14:paraId="3CA5A80D">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E7369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7EE7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FE3C2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上课人数</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64F7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≥300</w:t>
                  </w:r>
                </w:p>
              </w:tc>
            </w:tr>
            <w:tr w14:paraId="5FD97F65">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92039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B13255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质量指标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812C5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新开实训课程的培训完成率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8F4A8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w:t>
                  </w:r>
                </w:p>
              </w:tc>
            </w:tr>
            <w:tr w14:paraId="24D34515">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CE233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C4850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95FD1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软件稳定性</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F3755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运行流畅</w:t>
                  </w:r>
                </w:p>
              </w:tc>
            </w:tr>
            <w:tr w14:paraId="79519639">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49CCA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53B0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时效指标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6D75A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合同有效期内</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34E66D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3年</w:t>
                  </w:r>
                </w:p>
              </w:tc>
            </w:tr>
            <w:tr w14:paraId="3DF059CF">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485E5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4542C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4D92F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服务器响应次数</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29F3B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每分钟60次</w:t>
                  </w:r>
                </w:p>
              </w:tc>
            </w:tr>
            <w:tr w14:paraId="3D7A5130">
              <w:tblPrEx>
                <w:tblCellMar>
                  <w:top w:w="0" w:type="dxa"/>
                  <w:left w:w="0" w:type="dxa"/>
                  <w:bottom w:w="0" w:type="dxa"/>
                  <w:right w:w="0" w:type="dxa"/>
                </w:tblCellMar>
              </w:tblPrEx>
              <w:trPr>
                <w:trHeight w:val="488"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6873A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1D57A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成本指标</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B3C7E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节约纸张等资源</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A916F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2万</w:t>
                  </w:r>
                </w:p>
              </w:tc>
            </w:tr>
            <w:tr w14:paraId="2B9FFF78">
              <w:tblPrEx>
                <w:tblCellMar>
                  <w:top w:w="0" w:type="dxa"/>
                  <w:left w:w="0" w:type="dxa"/>
                  <w:bottom w:w="0" w:type="dxa"/>
                  <w:right w:w="0" w:type="dxa"/>
                </w:tblCellMar>
              </w:tblPrEx>
              <w:trPr>
                <w:trHeight w:val="500" w:hRule="atLeast"/>
              </w:trPr>
              <w:tc>
                <w:tcPr>
                  <w:tcW w:w="11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9FEE4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61AF1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60E308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受训人均成本</w:t>
                  </w:r>
                </w:p>
              </w:tc>
              <w:tc>
                <w:tcPr>
                  <w:tcW w:w="238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1062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≤800元/人</w:t>
                  </w:r>
                </w:p>
              </w:tc>
            </w:tr>
          </w:tbl>
          <w:p w14:paraId="20C018BF">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p>
          <w:p w14:paraId="1A0BEB54">
            <w:pPr>
              <w:pageBreakBefore w:val="0"/>
              <w:kinsoku/>
              <w:wordWrap/>
              <w:overflowPunct/>
              <w:topLinePunct w:val="0"/>
              <w:autoSpaceDE/>
              <w:autoSpaceDN/>
              <w:bidi w:val="0"/>
              <w:adjustRightInd w:val="0"/>
              <w:snapToGrid w:val="0"/>
              <w:spacing w:line="360" w:lineRule="auto"/>
              <w:rPr>
                <w:rFonts w:hint="eastAsia" w:ascii="宋体" w:hAnsi="宋体" w:cs="黑体"/>
                <w:szCs w:val="21"/>
              </w:rPr>
            </w:pPr>
          </w:p>
        </w:tc>
      </w:tr>
      <w:tr w14:paraId="5426EBF5">
        <w:tblPrEx>
          <w:tblCellMar>
            <w:top w:w="0" w:type="dxa"/>
            <w:left w:w="108" w:type="dxa"/>
            <w:bottom w:w="0" w:type="dxa"/>
            <w:right w:w="108" w:type="dxa"/>
          </w:tblCellMar>
        </w:tblPrEx>
        <w:trPr>
          <w:trHeight w:val="855" w:hRule="atLeast"/>
        </w:trPr>
        <w:tc>
          <w:tcPr>
            <w:tcW w:w="1185" w:type="pct"/>
            <w:gridSpan w:val="3"/>
            <w:tcBorders>
              <w:top w:val="single" w:color="auto" w:sz="4" w:space="0"/>
              <w:left w:val="single" w:color="auto" w:sz="6" w:space="0"/>
              <w:bottom w:val="single" w:color="auto" w:sz="4" w:space="0"/>
              <w:right w:val="single" w:color="auto" w:sz="4" w:space="0"/>
            </w:tcBorders>
          </w:tcPr>
          <w:p w14:paraId="0B61AC7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效益目标</w:t>
            </w:r>
          </w:p>
          <w:p w14:paraId="77C7C14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p>
        </w:tc>
        <w:tc>
          <w:tcPr>
            <w:tcW w:w="3814" w:type="pct"/>
            <w:gridSpan w:val="8"/>
            <w:tcBorders>
              <w:top w:val="single" w:color="auto" w:sz="4" w:space="0"/>
              <w:left w:val="single" w:color="auto" w:sz="4" w:space="0"/>
              <w:bottom w:val="single" w:color="auto" w:sz="4" w:space="0"/>
              <w:right w:val="single" w:color="auto" w:sz="6" w:space="0"/>
            </w:tcBorders>
          </w:tcPr>
          <w:tbl>
            <w:tblPr>
              <w:tblStyle w:val="8"/>
              <w:tblW w:w="7177" w:type="dxa"/>
              <w:tblInd w:w="15" w:type="dxa"/>
              <w:tblLayout w:type="fixed"/>
              <w:tblCellMar>
                <w:top w:w="0" w:type="dxa"/>
                <w:left w:w="0" w:type="dxa"/>
                <w:bottom w:w="0" w:type="dxa"/>
                <w:right w:w="0" w:type="dxa"/>
              </w:tblCellMar>
            </w:tblPr>
            <w:tblGrid>
              <w:gridCol w:w="1139"/>
              <w:gridCol w:w="1252"/>
              <w:gridCol w:w="2393"/>
              <w:gridCol w:w="2393"/>
            </w:tblGrid>
            <w:tr w14:paraId="4E00D33E">
              <w:tblPrEx>
                <w:tblCellMar>
                  <w:top w:w="0" w:type="dxa"/>
                  <w:left w:w="0" w:type="dxa"/>
                  <w:bottom w:w="0" w:type="dxa"/>
                  <w:right w:w="0" w:type="dxa"/>
                </w:tblCellMar>
              </w:tblPrEx>
              <w:trPr>
                <w:trHeight w:val="612" w:hRule="atLeast"/>
              </w:trPr>
              <w:tc>
                <w:tcPr>
                  <w:tcW w:w="11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EE642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2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7852E4">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5D7F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633AB6">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09F95DD9">
              <w:tblPrEx>
                <w:tblCellMar>
                  <w:top w:w="0" w:type="dxa"/>
                  <w:left w:w="0" w:type="dxa"/>
                  <w:bottom w:w="0" w:type="dxa"/>
                  <w:right w:w="0" w:type="dxa"/>
                </w:tblCellMar>
              </w:tblPrEx>
              <w:trPr>
                <w:trHeight w:val="612" w:hRule="atLeast"/>
              </w:trPr>
              <w:tc>
                <w:tcPr>
                  <w:tcW w:w="113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7B8AD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EBDB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经济效益</w:t>
                  </w:r>
                </w:p>
                <w:p w14:paraId="2A6A83D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E8B5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增加实践教学环节</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4D30C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1个</w:t>
                  </w:r>
                </w:p>
              </w:tc>
            </w:tr>
            <w:tr w14:paraId="4C020876">
              <w:tblPrEx>
                <w:tblCellMar>
                  <w:top w:w="0" w:type="dxa"/>
                  <w:left w:w="0" w:type="dxa"/>
                  <w:bottom w:w="0" w:type="dxa"/>
                  <w:right w:w="0" w:type="dxa"/>
                </w:tblCellMar>
              </w:tblPrEx>
              <w:trPr>
                <w:trHeight w:val="612"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701D0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A9359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0A80E1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支撑实验课程门数</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2B556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1门</w:t>
                  </w:r>
                </w:p>
              </w:tc>
            </w:tr>
            <w:tr w14:paraId="3C8C06A0">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63D54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D39ED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社会效益</w:t>
                  </w:r>
                </w:p>
                <w:p w14:paraId="7657EF9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71BD9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可作为开发平台，对外服务，服务人数</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5F3DE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≥10000</w:t>
                  </w:r>
                </w:p>
              </w:tc>
            </w:tr>
            <w:tr w14:paraId="59CF3E08">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129A5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527F7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22F32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提升大数据分析和编程能力</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AB09C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逐步提高</w:t>
                  </w:r>
                </w:p>
              </w:tc>
            </w:tr>
            <w:tr w14:paraId="5F8CB951">
              <w:tblPrEx>
                <w:tblCellMar>
                  <w:top w:w="0" w:type="dxa"/>
                  <w:left w:w="0" w:type="dxa"/>
                  <w:bottom w:w="0" w:type="dxa"/>
                  <w:right w:w="0" w:type="dxa"/>
                </w:tblCellMar>
              </w:tblPrEx>
              <w:trPr>
                <w:trHeight w:val="1150"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3F027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EC4515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生态效益</w:t>
                  </w:r>
                </w:p>
                <w:p w14:paraId="76CE347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D61F9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减少一次性材料使用</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3E247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5万</w:t>
                  </w:r>
                </w:p>
              </w:tc>
            </w:tr>
            <w:tr w14:paraId="78A8743E">
              <w:tblPrEx>
                <w:tblCellMar>
                  <w:top w:w="0" w:type="dxa"/>
                  <w:left w:w="0" w:type="dxa"/>
                  <w:bottom w:w="0" w:type="dxa"/>
                  <w:right w:w="0" w:type="dxa"/>
                </w:tblCellMar>
              </w:tblPrEx>
              <w:trPr>
                <w:trHeight w:val="1688"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F3FC5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A6ADF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可持续影响指标</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0169C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提升本校供应链大数据分析实验室建设实力，知名度</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8AD1F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逐渐提高</w:t>
                  </w:r>
                </w:p>
              </w:tc>
            </w:tr>
            <w:tr w14:paraId="6AD09B76">
              <w:tblPrEx>
                <w:tblCellMar>
                  <w:top w:w="0" w:type="dxa"/>
                  <w:left w:w="0" w:type="dxa"/>
                  <w:bottom w:w="0" w:type="dxa"/>
                  <w:right w:w="0" w:type="dxa"/>
                </w:tblCellMar>
              </w:tblPrEx>
              <w:trPr>
                <w:trHeight w:val="1718" w:hRule="atLeast"/>
              </w:trPr>
              <w:tc>
                <w:tcPr>
                  <w:tcW w:w="113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BB08AC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252"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2F14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89B7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采用政府采购，支出按照预算安排执行，成本相对合理</w:t>
                  </w:r>
                </w:p>
              </w:tc>
              <w:tc>
                <w:tcPr>
                  <w:tcW w:w="239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9371B4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严格控制在预算内</w:t>
                  </w:r>
                </w:p>
              </w:tc>
            </w:tr>
          </w:tbl>
          <w:p w14:paraId="798EF75C">
            <w:pPr>
              <w:pageBreakBefore w:val="0"/>
              <w:kinsoku/>
              <w:wordWrap/>
              <w:overflowPunct/>
              <w:topLinePunct w:val="0"/>
              <w:autoSpaceDE/>
              <w:autoSpaceDN/>
              <w:bidi w:val="0"/>
              <w:adjustRightInd w:val="0"/>
              <w:snapToGrid w:val="0"/>
              <w:spacing w:line="360" w:lineRule="auto"/>
              <w:rPr>
                <w:rFonts w:hint="eastAsia" w:ascii="宋体" w:hAnsi="宋体" w:cs="黑体"/>
                <w:color w:val="FF0000"/>
                <w:spacing w:val="2"/>
                <w:kern w:val="0"/>
                <w:sz w:val="28"/>
                <w:szCs w:val="28"/>
              </w:rPr>
            </w:pPr>
          </w:p>
          <w:p w14:paraId="0E307C53">
            <w:pPr>
              <w:pageBreakBefore w:val="0"/>
              <w:kinsoku/>
              <w:wordWrap/>
              <w:overflowPunct/>
              <w:topLinePunct w:val="0"/>
              <w:autoSpaceDE/>
              <w:autoSpaceDN/>
              <w:bidi w:val="0"/>
              <w:adjustRightInd w:val="0"/>
              <w:snapToGrid w:val="0"/>
              <w:spacing w:line="360" w:lineRule="auto"/>
              <w:rPr>
                <w:rFonts w:hint="eastAsia" w:ascii="宋体" w:hAnsi="宋体" w:cs="黑体"/>
                <w:color w:val="FF0000"/>
                <w:spacing w:val="2"/>
                <w:kern w:val="0"/>
                <w:sz w:val="28"/>
                <w:szCs w:val="28"/>
              </w:rPr>
            </w:pPr>
          </w:p>
        </w:tc>
      </w:tr>
      <w:tr w14:paraId="4E56E26E">
        <w:tblPrEx>
          <w:tblCellMar>
            <w:top w:w="0" w:type="dxa"/>
            <w:left w:w="108" w:type="dxa"/>
            <w:bottom w:w="0" w:type="dxa"/>
            <w:right w:w="108" w:type="dxa"/>
          </w:tblCellMar>
        </w:tblPrEx>
        <w:trPr>
          <w:trHeight w:val="497"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551362D5">
            <w:pPr>
              <w:pageBreakBefore w:val="0"/>
              <w:kinsoku/>
              <w:wordWrap/>
              <w:overflowPunct/>
              <w:topLinePunct w:val="0"/>
              <w:autoSpaceDE/>
              <w:autoSpaceDN/>
              <w:bidi w:val="0"/>
              <w:adjustRightInd w:val="0"/>
              <w:snapToGrid w:val="0"/>
              <w:spacing w:line="360" w:lineRule="auto"/>
              <w:rPr>
                <w:rFonts w:hint="eastAsia" w:ascii="黑体" w:hAnsi="黑体" w:eastAsia="黑体" w:cs="黑体"/>
                <w:spacing w:val="2"/>
                <w:kern w:val="0"/>
                <w:szCs w:val="21"/>
              </w:rPr>
            </w:pPr>
            <w:r>
              <w:rPr>
                <w:rFonts w:hint="eastAsia" w:ascii="黑体" w:hAnsi="黑体" w:eastAsia="黑体" w:cs="黑体"/>
                <w:spacing w:val="2"/>
                <w:kern w:val="0"/>
                <w:szCs w:val="21"/>
              </w:rPr>
              <w:t>三、项目申报资金</w:t>
            </w:r>
          </w:p>
        </w:tc>
      </w:tr>
      <w:tr w14:paraId="2BCBA9E3">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1BBEE33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zCs w:val="21"/>
              </w:rPr>
              <w:t>资金总额 （万元）</w:t>
            </w:r>
          </w:p>
        </w:tc>
        <w:tc>
          <w:tcPr>
            <w:tcW w:w="1020" w:type="pct"/>
            <w:gridSpan w:val="3"/>
            <w:tcBorders>
              <w:top w:val="single" w:color="auto" w:sz="6" w:space="0"/>
              <w:left w:val="single" w:color="auto" w:sz="6" w:space="0"/>
              <w:bottom w:val="single" w:color="auto" w:sz="6" w:space="0"/>
              <w:right w:val="single" w:color="auto" w:sz="4" w:space="0"/>
            </w:tcBorders>
            <w:vAlign w:val="center"/>
          </w:tcPr>
          <w:p w14:paraId="1D129C75">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仿宋" w:hAnsi="仿宋" w:eastAsia="仿宋" w:cs="仿宋"/>
                <w:bCs/>
                <w:spacing w:val="2"/>
                <w:kern w:val="0"/>
                <w:szCs w:val="21"/>
              </w:rPr>
              <w:t>XX万元</w:t>
            </w:r>
          </w:p>
        </w:tc>
        <w:tc>
          <w:tcPr>
            <w:tcW w:w="1274" w:type="pct"/>
            <w:gridSpan w:val="2"/>
            <w:tcBorders>
              <w:top w:val="single" w:color="auto" w:sz="6" w:space="0"/>
              <w:left w:val="single" w:color="auto" w:sz="4" w:space="0"/>
              <w:bottom w:val="single" w:color="auto" w:sz="6" w:space="0"/>
              <w:right w:val="single" w:color="auto" w:sz="4" w:space="0"/>
            </w:tcBorders>
            <w:vAlign w:val="center"/>
          </w:tcPr>
          <w:p w14:paraId="7DDD4D6D">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仿宋" w:hAnsi="仿宋" w:eastAsia="仿宋" w:cs="仿宋"/>
                <w:szCs w:val="21"/>
              </w:rPr>
              <w:t>其中，财政拨款数（万元）</w:t>
            </w:r>
          </w:p>
        </w:tc>
        <w:tc>
          <w:tcPr>
            <w:tcW w:w="1404" w:type="pct"/>
            <w:gridSpan w:val="2"/>
            <w:tcBorders>
              <w:top w:val="single" w:color="auto" w:sz="6" w:space="0"/>
              <w:left w:val="single" w:color="auto" w:sz="4" w:space="0"/>
              <w:bottom w:val="single" w:color="auto" w:sz="6" w:space="0"/>
              <w:right w:val="single" w:color="auto" w:sz="6" w:space="0"/>
            </w:tcBorders>
            <w:vAlign w:val="center"/>
          </w:tcPr>
          <w:p w14:paraId="41D45150">
            <w:pPr>
              <w:pageBreakBefore w:val="0"/>
              <w:kinsoku/>
              <w:wordWrap/>
              <w:overflowPunct/>
              <w:topLinePunct w:val="0"/>
              <w:autoSpaceDE/>
              <w:autoSpaceDN/>
              <w:bidi w:val="0"/>
              <w:adjustRightInd w:val="0"/>
              <w:snapToGrid w:val="0"/>
              <w:spacing w:line="360" w:lineRule="auto"/>
              <w:rPr>
                <w:rFonts w:hint="eastAsia" w:ascii="宋体" w:hAnsi="宋体" w:cs="黑体"/>
                <w:b/>
                <w:spacing w:val="2"/>
                <w:kern w:val="0"/>
                <w:szCs w:val="21"/>
              </w:rPr>
            </w:pPr>
            <w:r>
              <w:rPr>
                <w:rFonts w:hint="eastAsia" w:ascii="宋体" w:hAnsi="宋体" w:cs="黑体"/>
                <w:b/>
                <w:spacing w:val="2"/>
                <w:kern w:val="0"/>
                <w:szCs w:val="21"/>
                <w:highlight w:val="yellow"/>
              </w:rPr>
              <w:t xml:space="preserve">   </w:t>
            </w:r>
          </w:p>
        </w:tc>
      </w:tr>
      <w:tr w14:paraId="6C0F5F3F">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7EDC428C">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测算依据和标准</w:t>
            </w:r>
          </w:p>
        </w:tc>
        <w:tc>
          <w:tcPr>
            <w:tcW w:w="3698" w:type="pct"/>
            <w:gridSpan w:val="7"/>
            <w:tcBorders>
              <w:top w:val="single" w:color="auto" w:sz="6" w:space="0"/>
              <w:left w:val="single" w:color="auto" w:sz="6" w:space="0"/>
              <w:bottom w:val="single" w:color="auto" w:sz="6" w:space="0"/>
              <w:right w:val="single" w:color="auto" w:sz="6" w:space="0"/>
            </w:tcBorders>
            <w:vAlign w:val="center"/>
          </w:tcPr>
          <w:p w14:paraId="0E4A3BC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根据预算编制要求，最大化节省开支，最大化利用学院现有电脑、投影仪等硬件设备，立足于我院物流专业群建设，围绕适应物流行业对数字人才的需求建设项目，精打细算，从严从紧控制项目申报和预算安排，非必要项目和工作内容可压尽压、应压尽压，做到客观、精准、绩效。</w:t>
            </w:r>
          </w:p>
          <w:p w14:paraId="45A81B88">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b/>
                <w:color w:val="FF0000"/>
                <w:spacing w:val="2"/>
                <w:kern w:val="0"/>
                <w:szCs w:val="21"/>
              </w:rPr>
            </w:pPr>
            <w:r>
              <w:rPr>
                <w:rFonts w:hint="eastAsia" w:ascii="仿宋" w:hAnsi="仿宋" w:eastAsia="仿宋" w:cs="仿宋"/>
                <w:szCs w:val="30"/>
              </w:rPr>
              <w:t>由于现有实验室已具备电脑、沙盘桌子、投影仪等硬件可不用再采购，只需采购</w:t>
            </w:r>
            <w:r>
              <w:rPr>
                <w:rFonts w:hint="eastAsia" w:ascii="仿宋" w:hAnsi="仿宋" w:eastAsia="仿宋" w:cs="仿宋"/>
                <w:szCs w:val="30"/>
                <w:lang w:eastAsia="zh-CN"/>
              </w:rPr>
              <w:t>供应链AI大数据教学平台</w:t>
            </w:r>
            <w:r>
              <w:rPr>
                <w:rFonts w:hint="eastAsia" w:ascii="仿宋" w:hAnsi="仿宋" w:eastAsia="仿宋" w:cs="仿宋"/>
                <w:szCs w:val="30"/>
              </w:rPr>
              <w:t>则为XX万元 。</w:t>
            </w:r>
          </w:p>
        </w:tc>
      </w:tr>
      <w:tr w14:paraId="3BC74275">
        <w:tblPrEx>
          <w:tblCellMar>
            <w:top w:w="0" w:type="dxa"/>
            <w:left w:w="108" w:type="dxa"/>
            <w:bottom w:w="0" w:type="dxa"/>
            <w:right w:w="108" w:type="dxa"/>
          </w:tblCellMar>
        </w:tblPrEx>
        <w:trPr>
          <w:trHeight w:val="1134" w:hRule="atLeast"/>
        </w:trPr>
        <w:tc>
          <w:tcPr>
            <w:tcW w:w="1301" w:type="pct"/>
            <w:gridSpan w:val="4"/>
            <w:tcBorders>
              <w:top w:val="single" w:color="auto" w:sz="6" w:space="0"/>
              <w:left w:val="single" w:color="auto" w:sz="6" w:space="0"/>
              <w:bottom w:val="single" w:color="auto" w:sz="6" w:space="0"/>
              <w:right w:val="single" w:color="auto" w:sz="6" w:space="0"/>
            </w:tcBorders>
            <w:vAlign w:val="center"/>
          </w:tcPr>
          <w:p w14:paraId="45D8A81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zCs w:val="21"/>
              </w:rPr>
              <w:t>投入计划（分季度）</w:t>
            </w:r>
          </w:p>
        </w:tc>
        <w:tc>
          <w:tcPr>
            <w:tcW w:w="3698" w:type="pct"/>
            <w:gridSpan w:val="7"/>
            <w:tcBorders>
              <w:top w:val="single" w:color="auto" w:sz="6" w:space="0"/>
              <w:left w:val="single" w:color="auto" w:sz="6" w:space="0"/>
              <w:bottom w:val="single" w:color="auto" w:sz="6" w:space="0"/>
              <w:right w:val="single" w:color="auto" w:sz="6" w:space="0"/>
            </w:tcBorders>
            <w:vAlign w:val="center"/>
          </w:tcPr>
          <w:p w14:paraId="00828AF0">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b/>
                <w:color w:val="FF0000"/>
                <w:spacing w:val="2"/>
                <w:kern w:val="0"/>
                <w:szCs w:val="21"/>
              </w:rPr>
            </w:pPr>
            <w:r>
              <w:rPr>
                <w:rFonts w:hint="eastAsia" w:ascii="仿宋" w:hAnsi="仿宋" w:eastAsia="仿宋" w:cs="仿宋"/>
                <w:szCs w:val="30"/>
              </w:rPr>
              <w:t>供应链大数据分析项目属于一次性采购，一次购买后即可作为我校终身资产，无需分季度投入。</w:t>
            </w:r>
          </w:p>
        </w:tc>
      </w:tr>
      <w:tr w14:paraId="4B4C298C">
        <w:tblPrEx>
          <w:tblCellMar>
            <w:top w:w="0" w:type="dxa"/>
            <w:left w:w="108" w:type="dxa"/>
            <w:bottom w:w="0" w:type="dxa"/>
            <w:right w:w="108" w:type="dxa"/>
          </w:tblCellMar>
        </w:tblPrEx>
        <w:trPr>
          <w:trHeight w:val="497"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3696CFD0">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二、项目评估内容</w:t>
            </w:r>
          </w:p>
        </w:tc>
      </w:tr>
      <w:tr w14:paraId="054E0EFD">
        <w:tblPrEx>
          <w:tblCellMar>
            <w:top w:w="0" w:type="dxa"/>
            <w:left w:w="108" w:type="dxa"/>
            <w:bottom w:w="0" w:type="dxa"/>
            <w:right w:w="108" w:type="dxa"/>
          </w:tblCellMar>
        </w:tblPrEx>
        <w:trPr>
          <w:trHeight w:val="552"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466D1616">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立项必要性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53FD7998">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1、项目背景要求实施的必要性</w:t>
            </w:r>
          </w:p>
          <w:p w14:paraId="4F1499F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国家要求高等学校要把建立和完善实践教学体系，作为提高教学质量重要内容。根据教育部和教育厅关于质量工程、实践教学体系的要求，如何改进现有教学模式，给学生创造更多实践机会和提高职业技能，培养学生动手能力和自主创新能力，使之成为能够尽快适应社会环境的合格毕业生，是高等教育教学改革一个重要方向。我校物流管理专业实践教学经过前期建设后，仍存在以下难点：</w:t>
            </w:r>
          </w:p>
          <w:p w14:paraId="2D8039E2">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一是当前学生已不满足于简单操作实训与流程实训，要求能够深入到后台核心决策业务和大数据数据分析业务。这类业务实训也非常适合本科阶段能力素质培养要求。</w:t>
            </w:r>
          </w:p>
          <w:p w14:paraId="2A7AD889">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二是各类物流相关部门（如经济管理部门、各类工商企业、第三方物流企业、口岸运行部门）无法提供太多岗位接收学生大规模实训；即使学生在这些机构实训，也无法接触到大数据分析业务，只能从事一些外围业务；</w:t>
            </w:r>
          </w:p>
          <w:p w14:paraId="7C619B67">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三是供应链大数据分析和数据编程专业理论知识较多，现有已建实验已初步把基础和操作类理论知识用在实训中，更深层次后供应链大数据智能数据机器人实训分析等一直是理论教学与研究，还有待增加实训实验环节。</w:t>
            </w:r>
          </w:p>
          <w:p w14:paraId="161E9284">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供应链大数据分析项目的建设解决了我系实践教学难点，弥补我校在物流类大数据分析等高端实训不足。更为重要的是，</w:t>
            </w:r>
            <w:r>
              <w:rPr>
                <w:rFonts w:hint="eastAsia" w:ascii="仿宋" w:hAnsi="仿宋" w:eastAsia="仿宋" w:cs="仿宋"/>
                <w:szCs w:val="30"/>
                <w:lang w:eastAsia="zh-CN"/>
              </w:rPr>
              <w:t>供应链AI大数据教学平台</w:t>
            </w:r>
            <w:r>
              <w:rPr>
                <w:rFonts w:hint="eastAsia" w:ascii="仿宋" w:hAnsi="仿宋" w:eastAsia="仿宋" w:cs="仿宋"/>
                <w:szCs w:val="30"/>
              </w:rPr>
              <w:t>课程可纳入到财务管理、电子商务、工业工程、国际商务、 金融工程、投资学、物流管理、信息管理与信息系统、知识产权等专业教学培养方案中，亟需实验软件等教学资源的补充。</w:t>
            </w:r>
          </w:p>
          <w:p w14:paraId="722C5A41">
            <w:pPr>
              <w:pageBreakBefore w:val="0"/>
              <w:numPr>
                <w:ilvl w:val="0"/>
                <w:numId w:val="4"/>
              </w:numPr>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对发展规划必要性</w:t>
            </w:r>
          </w:p>
          <w:p w14:paraId="2E989FE1">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根据国务院国发〔2021〕29号文件《国务院关于印发“十四五”数字经济发展规划的通知》要求，以数据为关键要素，以数字技术与实体经济深度融合为主线，加强数字基础设施建设，完善数字经济治理体系，协同推进数字产业化和产业数字化，赋能传统产业转型升级，培育新产业新业态新模式，不断做强做优做大我国数字经济，为构建数字中国提供有力支撑。我校急需加强数字经济项目建设，申报建设</w:t>
            </w:r>
            <w:r>
              <w:rPr>
                <w:rFonts w:hint="eastAsia" w:ascii="仿宋" w:hAnsi="仿宋" w:eastAsia="仿宋" w:cs="仿宋"/>
                <w:szCs w:val="30"/>
                <w:lang w:eastAsia="zh-CN"/>
              </w:rPr>
              <w:t>供应链AI大数据教学平台</w:t>
            </w:r>
            <w:r>
              <w:rPr>
                <w:rFonts w:hint="eastAsia" w:ascii="仿宋" w:hAnsi="仿宋" w:eastAsia="仿宋" w:cs="仿宋"/>
                <w:szCs w:val="30"/>
              </w:rPr>
              <w:t>，落实“数字经济人才”培养，从高校层面助力国家数字经济建设。</w:t>
            </w:r>
          </w:p>
          <w:p w14:paraId="1D5D4630">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根据教育部教高函【2018】5号文件《关于开展国家虚拟仿真实验教学项目建设工作的通知》要求，开展国家虚拟仿真实验教学项目建设工作是深化信息技术与教育教学深度融合，拓展实验教学内容广度和深度、延伸实验教学时间和空间、提升实验教学质量和水平的重要举措。我校急需加强</w:t>
            </w:r>
            <w:r>
              <w:rPr>
                <w:rFonts w:hint="eastAsia" w:ascii="仿宋" w:hAnsi="仿宋" w:eastAsia="仿宋" w:cs="仿宋"/>
                <w:szCs w:val="30"/>
                <w:lang w:eastAsia="zh-CN"/>
              </w:rPr>
              <w:t>供应链AI大数据教学平台</w:t>
            </w:r>
            <w:r>
              <w:rPr>
                <w:rFonts w:hint="eastAsia" w:ascii="仿宋" w:hAnsi="仿宋" w:eastAsia="仿宋" w:cs="仿宋"/>
                <w:szCs w:val="30"/>
              </w:rPr>
              <w:t>实训的项目建设。本次申报的</w:t>
            </w:r>
            <w:r>
              <w:rPr>
                <w:rFonts w:hint="eastAsia" w:ascii="仿宋" w:hAnsi="仿宋" w:eastAsia="仿宋" w:cs="仿宋"/>
                <w:szCs w:val="30"/>
                <w:lang w:eastAsia="zh-CN"/>
              </w:rPr>
              <w:t>供应链AI大数据教学平台</w:t>
            </w:r>
            <w:r>
              <w:rPr>
                <w:rFonts w:hint="eastAsia" w:ascii="仿宋" w:hAnsi="仿宋" w:eastAsia="仿宋" w:cs="仿宋"/>
                <w:szCs w:val="30"/>
              </w:rPr>
              <w:t>采购是基于虚拟仿真的高端数据决策实验。</w:t>
            </w:r>
          </w:p>
          <w:p w14:paraId="349691C5">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3、附加效益的必要性分析</w:t>
            </w:r>
          </w:p>
          <w:p w14:paraId="7A6494A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本专业培养具有管理学、工学和计算机科学与技术基础知识，熟悉现代物流管理理论与方法，系统地掌握物流工程的基本理论和技能，具备物流系统规划与工程技术集成应用、物流解决方案的技术设计、实施与评价，物流节点设施的设计与仿真优化、物流信息技术的集成与应用等方面的技术与能力的复合型高级物流工程人才，希望通过引入该系统，充分发挥大数据、智慧物流和数据编程的引领作用，更好地适应当前智慧物流专业实验教学的蓬勃发展，深化大数据分析与教学实践相融合。同时为适应供应链大数据分析的科技发展趋势，提高学生的自主设计数字机器人的编程能力、的数据获取与清洗能力、数据分析与挖掘能力以及数据可视化及分析能力。</w:t>
            </w:r>
          </w:p>
          <w:p w14:paraId="0A90A88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各类供应链大数据分析相关机构无法提供太多岗位接收学生大规模实训；即使学生在这些机构实训，也无法接触到数据编程、大数据分析等业务，只能从事一些外围业务；急需能模拟辅助学生进行大数据分析、提高数据编程和大数据机器人开发设计能力的软件。</w:t>
            </w:r>
          </w:p>
          <w:p w14:paraId="2D06502A">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教育部正在实施的“双万计划”，急需建设省级和国家级一流专业、一流金课，本项目的大数据分析实验具有更深层次自主设计数字机器人的编程能力、的数据获取与清洗能力、数据分析与挖掘能力以及数据可视化及分析能力等实训实验环节，能够为我校申报建设一流专业、一流金课提供强有力的支撑。</w:t>
            </w:r>
          </w:p>
          <w:p w14:paraId="61DB1DEA">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4、市场调研</w:t>
            </w:r>
          </w:p>
          <w:p w14:paraId="4C843C05">
            <w:pPr>
              <w:pageBreakBefore w:val="0"/>
              <w:kinsoku/>
              <w:wordWrap/>
              <w:overflowPunct/>
              <w:topLinePunct w:val="0"/>
              <w:autoSpaceDE/>
              <w:autoSpaceDN/>
              <w:bidi w:val="0"/>
              <w:adjustRightInd w:val="0"/>
              <w:snapToGrid w:val="0"/>
              <w:spacing w:line="360" w:lineRule="auto"/>
              <w:ind w:firstLine="548" w:firstLineChars="200"/>
              <w:rPr>
                <w:rFonts w:eastAsia="宋体"/>
              </w:rPr>
            </w:pPr>
            <w:r>
              <w:rPr>
                <w:rFonts w:hint="eastAsia" w:ascii="仿宋" w:hAnsi="仿宋" w:eastAsia="仿宋" w:cs="仿宋"/>
                <w:szCs w:val="30"/>
              </w:rPr>
              <w:t>选型理由：（1）在选购情况调查的基础上论述选择产品的选型理由。（2）三家厂商以上主要功能及厂商代理商售后服务基本情况（独家经营及生产的产品请特别说明）</w:t>
            </w:r>
          </w:p>
          <w:tbl>
            <w:tblPr>
              <w:tblStyle w:val="8"/>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44"/>
              <w:gridCol w:w="1859"/>
              <w:gridCol w:w="1859"/>
              <w:gridCol w:w="2334"/>
            </w:tblGrid>
            <w:tr w14:paraId="46382E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4637E74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软件品牌</w:t>
                  </w:r>
                </w:p>
              </w:tc>
              <w:tc>
                <w:tcPr>
                  <w:tcW w:w="1256" w:type="pct"/>
                  <w:tcBorders>
                    <w:top w:val="single" w:color="auto" w:sz="4" w:space="0"/>
                    <w:left w:val="single" w:color="auto" w:sz="4" w:space="0"/>
                    <w:bottom w:val="single" w:color="auto" w:sz="4" w:space="0"/>
                    <w:right w:val="single" w:color="auto" w:sz="4" w:space="0"/>
                  </w:tcBorders>
                  <w:vAlign w:val="center"/>
                </w:tcPr>
                <w:p w14:paraId="6D103AD2">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杰科力</w:t>
                  </w:r>
                </w:p>
              </w:tc>
              <w:tc>
                <w:tcPr>
                  <w:tcW w:w="1256" w:type="pct"/>
                  <w:tcBorders>
                    <w:top w:val="single" w:color="auto" w:sz="4" w:space="0"/>
                    <w:left w:val="single" w:color="auto" w:sz="4" w:space="0"/>
                    <w:bottom w:val="single" w:color="auto" w:sz="4" w:space="0"/>
                    <w:right w:val="single" w:color="auto" w:sz="4" w:space="0"/>
                  </w:tcBorders>
                  <w:vAlign w:val="center"/>
                </w:tcPr>
                <w:p w14:paraId="442F76C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大成弘毅</w:t>
                  </w:r>
                </w:p>
              </w:tc>
              <w:tc>
                <w:tcPr>
                  <w:tcW w:w="1577" w:type="pct"/>
                  <w:tcBorders>
                    <w:top w:val="single" w:color="auto" w:sz="4" w:space="0"/>
                    <w:left w:val="single" w:color="auto" w:sz="4" w:space="0"/>
                    <w:bottom w:val="single" w:color="auto" w:sz="4" w:space="0"/>
                    <w:right w:val="single" w:color="auto" w:sz="4" w:space="0"/>
                  </w:tcBorders>
                  <w:vAlign w:val="center"/>
                </w:tcPr>
                <w:p w14:paraId="6C49AC76">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慕课</w:t>
                  </w:r>
                </w:p>
              </w:tc>
            </w:tr>
            <w:tr w14:paraId="39036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48CC981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型号规格</w:t>
                  </w:r>
                </w:p>
              </w:tc>
              <w:tc>
                <w:tcPr>
                  <w:tcW w:w="1256" w:type="pct"/>
                  <w:tcBorders>
                    <w:top w:val="single" w:color="auto" w:sz="4" w:space="0"/>
                    <w:left w:val="single" w:color="auto" w:sz="4" w:space="0"/>
                    <w:bottom w:val="single" w:color="auto" w:sz="4" w:space="0"/>
                    <w:right w:val="single" w:color="auto" w:sz="4" w:space="0"/>
                  </w:tcBorders>
                  <w:vAlign w:val="center"/>
                </w:tcPr>
                <w:p w14:paraId="6F4B470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eastAsia="zh-CN"/>
                    </w:rPr>
                    <w:t>供应链AI大数据教学平台</w:t>
                  </w:r>
                  <w:r>
                    <w:rPr>
                      <w:rFonts w:hint="eastAsia" w:ascii="仿宋" w:hAnsi="仿宋" w:eastAsia="仿宋" w:cs="仿宋"/>
                      <w:sz w:val="28"/>
                      <w:szCs w:val="28"/>
                    </w:rPr>
                    <w:t>（本科版）</w:t>
                  </w:r>
                </w:p>
              </w:tc>
              <w:tc>
                <w:tcPr>
                  <w:tcW w:w="1256" w:type="pct"/>
                  <w:tcBorders>
                    <w:top w:val="single" w:color="auto" w:sz="4" w:space="0"/>
                    <w:left w:val="single" w:color="auto" w:sz="4" w:space="0"/>
                    <w:bottom w:val="single" w:color="auto" w:sz="4" w:space="0"/>
                    <w:right w:val="single" w:color="auto" w:sz="4" w:space="0"/>
                  </w:tcBorders>
                  <w:vAlign w:val="center"/>
                </w:tcPr>
                <w:p w14:paraId="571F10B8">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大数据分析实训(无规格型号)</w:t>
                  </w:r>
                </w:p>
              </w:tc>
              <w:tc>
                <w:tcPr>
                  <w:tcW w:w="1577" w:type="pct"/>
                  <w:tcBorders>
                    <w:top w:val="single" w:color="auto" w:sz="4" w:space="0"/>
                    <w:left w:val="single" w:color="auto" w:sz="4" w:space="0"/>
                    <w:bottom w:val="single" w:color="auto" w:sz="4" w:space="0"/>
                    <w:right w:val="single" w:color="auto" w:sz="4" w:space="0"/>
                  </w:tcBorders>
                  <w:vAlign w:val="center"/>
                </w:tcPr>
                <w:p w14:paraId="6028AB2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供应链大数据平台(V1.0)</w:t>
                  </w:r>
                </w:p>
              </w:tc>
            </w:tr>
            <w:tr w14:paraId="3455D8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06A3CD8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国别</w:t>
                  </w:r>
                </w:p>
              </w:tc>
              <w:tc>
                <w:tcPr>
                  <w:tcW w:w="1256" w:type="pct"/>
                  <w:tcBorders>
                    <w:top w:val="single" w:color="auto" w:sz="4" w:space="0"/>
                    <w:left w:val="single" w:color="auto" w:sz="4" w:space="0"/>
                    <w:bottom w:val="single" w:color="auto" w:sz="4" w:space="0"/>
                    <w:right w:val="single" w:color="auto" w:sz="4" w:space="0"/>
                  </w:tcBorders>
                  <w:vAlign w:val="center"/>
                </w:tcPr>
                <w:p w14:paraId="48244E7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c>
                <w:tcPr>
                  <w:tcW w:w="1256" w:type="pct"/>
                  <w:tcBorders>
                    <w:top w:val="single" w:color="auto" w:sz="4" w:space="0"/>
                    <w:left w:val="single" w:color="auto" w:sz="4" w:space="0"/>
                    <w:bottom w:val="single" w:color="auto" w:sz="4" w:space="0"/>
                    <w:right w:val="single" w:color="auto" w:sz="4" w:space="0"/>
                  </w:tcBorders>
                  <w:vAlign w:val="center"/>
                </w:tcPr>
                <w:p w14:paraId="12A1185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c>
                <w:tcPr>
                  <w:tcW w:w="1577" w:type="pct"/>
                  <w:tcBorders>
                    <w:top w:val="single" w:color="auto" w:sz="4" w:space="0"/>
                    <w:left w:val="single" w:color="auto" w:sz="4" w:space="0"/>
                    <w:bottom w:val="single" w:color="auto" w:sz="4" w:space="0"/>
                    <w:right w:val="single" w:color="auto" w:sz="4" w:space="0"/>
                  </w:tcBorders>
                  <w:vAlign w:val="center"/>
                </w:tcPr>
                <w:p w14:paraId="14FFD8E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中国</w:t>
                  </w:r>
                </w:p>
              </w:tc>
            </w:tr>
            <w:tr w14:paraId="1A051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08" w:type="pct"/>
                  <w:tcBorders>
                    <w:top w:val="single" w:color="auto" w:sz="4" w:space="0"/>
                    <w:left w:val="single" w:color="auto" w:sz="4" w:space="0"/>
                    <w:bottom w:val="single" w:color="auto" w:sz="4" w:space="0"/>
                    <w:right w:val="single" w:color="auto" w:sz="4" w:space="0"/>
                  </w:tcBorders>
                </w:tcPr>
                <w:p w14:paraId="646359F7">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厂商</w:t>
                  </w:r>
                </w:p>
              </w:tc>
              <w:tc>
                <w:tcPr>
                  <w:tcW w:w="1256" w:type="pct"/>
                  <w:tcBorders>
                    <w:top w:val="single" w:color="auto" w:sz="4" w:space="0"/>
                    <w:left w:val="single" w:color="auto" w:sz="4" w:space="0"/>
                    <w:bottom w:val="single" w:color="auto" w:sz="4" w:space="0"/>
                    <w:right w:val="single" w:color="auto" w:sz="4" w:space="0"/>
                  </w:tcBorders>
                  <w:vAlign w:val="center"/>
                </w:tcPr>
                <w:p w14:paraId="5114FBF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成都杰科力科技有限公司</w:t>
                  </w:r>
                </w:p>
              </w:tc>
              <w:tc>
                <w:tcPr>
                  <w:tcW w:w="1256" w:type="pct"/>
                  <w:tcBorders>
                    <w:top w:val="single" w:color="auto" w:sz="4" w:space="0"/>
                    <w:left w:val="single" w:color="auto" w:sz="4" w:space="0"/>
                    <w:bottom w:val="single" w:color="auto" w:sz="4" w:space="0"/>
                    <w:right w:val="single" w:color="auto" w:sz="4" w:space="0"/>
                  </w:tcBorders>
                  <w:vAlign w:val="center"/>
                </w:tcPr>
                <w:p w14:paraId="52886486">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成都大成弘毅科技有限公司</w:t>
                  </w:r>
                </w:p>
              </w:tc>
              <w:tc>
                <w:tcPr>
                  <w:tcW w:w="1577" w:type="pct"/>
                  <w:tcBorders>
                    <w:top w:val="single" w:color="auto" w:sz="4" w:space="0"/>
                    <w:left w:val="single" w:color="auto" w:sz="4" w:space="0"/>
                    <w:bottom w:val="single" w:color="auto" w:sz="4" w:space="0"/>
                    <w:right w:val="single" w:color="auto" w:sz="4" w:space="0"/>
                  </w:tcBorders>
                  <w:vAlign w:val="center"/>
                </w:tcPr>
                <w:p w14:paraId="41ADA2D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成都慕课科技有限公司</w:t>
                  </w:r>
                </w:p>
              </w:tc>
            </w:tr>
            <w:tr w14:paraId="063E6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trPr>
              <w:tc>
                <w:tcPr>
                  <w:tcW w:w="908" w:type="pct"/>
                  <w:tcBorders>
                    <w:top w:val="single" w:color="auto" w:sz="4" w:space="0"/>
                    <w:left w:val="single" w:color="auto" w:sz="4" w:space="0"/>
                    <w:bottom w:val="single" w:color="auto" w:sz="4" w:space="0"/>
                    <w:right w:val="single" w:color="auto" w:sz="4" w:space="0"/>
                  </w:tcBorders>
                  <w:vAlign w:val="center"/>
                </w:tcPr>
                <w:p w14:paraId="6BA5E79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主</w:t>
                  </w:r>
                </w:p>
                <w:p w14:paraId="69D72EF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要</w:t>
                  </w:r>
                </w:p>
                <w:p w14:paraId="7E3E4A7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功</w:t>
                  </w:r>
                </w:p>
                <w:p w14:paraId="0AA0344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能</w:t>
                  </w:r>
                </w:p>
              </w:tc>
              <w:tc>
                <w:tcPr>
                  <w:tcW w:w="1256" w:type="pct"/>
                  <w:tcBorders>
                    <w:top w:val="single" w:color="auto" w:sz="4" w:space="0"/>
                    <w:left w:val="single" w:color="auto" w:sz="4" w:space="0"/>
                    <w:bottom w:val="single" w:color="auto" w:sz="4" w:space="0"/>
                    <w:right w:val="single" w:color="auto" w:sz="4" w:space="0"/>
                  </w:tcBorders>
                  <w:vAlign w:val="center"/>
                </w:tcPr>
                <w:p w14:paraId="2DDCEED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lang w:eastAsia="zh-CN"/>
                    </w:rPr>
                    <w:t>供应链AI大数据教学平台</w:t>
                  </w:r>
                  <w:r>
                    <w:rPr>
                      <w:rFonts w:hint="eastAsia" w:ascii="仿宋" w:hAnsi="仿宋" w:eastAsia="仿宋" w:cs="仿宋"/>
                      <w:sz w:val="28"/>
                      <w:szCs w:val="28"/>
                    </w:rPr>
                    <w:t>运用智能自动化机器人代替员工完成低附加值且重复的任务，不断优化物流行业的业务流程，创造新的业务模式，加速物流数智化升级，促进数字化流程的改进，提升数字化的经营能力，打造数字化物流体系。系统包含供应商主数据维护机器人、电商产品供应商选择机器人、供应商评估机器人、企业征信查询机器人等四大实验。学生通过实验的学习和操作掌握大数据时代自动化机器人的应用。此系统有助于提高学生自主设计数字机器人的编程能力、数据获取与清洗能力、数据分析能力以及数据可视化及分析能力。</w:t>
                  </w:r>
                </w:p>
              </w:tc>
              <w:tc>
                <w:tcPr>
                  <w:tcW w:w="1256" w:type="pct"/>
                  <w:tcBorders>
                    <w:top w:val="single" w:color="auto" w:sz="4" w:space="0"/>
                    <w:left w:val="single" w:color="auto" w:sz="4" w:space="0"/>
                    <w:bottom w:val="single" w:color="auto" w:sz="4" w:space="0"/>
                    <w:right w:val="single" w:color="auto" w:sz="4" w:space="0"/>
                  </w:tcBorders>
                  <w:vAlign w:val="center"/>
                </w:tcPr>
                <w:p w14:paraId="404C14B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ascii="Calibri" w:hAnsi="Calibri" w:eastAsia="仿宋" w:cs="Calibri"/>
                      <w:sz w:val="28"/>
                      <w:szCs w:val="28"/>
                    </w:rPr>
                    <w:t> </w:t>
                  </w:r>
                  <w:r>
                    <w:rPr>
                      <w:rFonts w:hint="eastAsia" w:ascii="仿宋" w:hAnsi="仿宋" w:eastAsia="仿宋" w:cs="仿宋"/>
                      <w:sz w:val="28"/>
                      <w:szCs w:val="28"/>
                    </w:rPr>
                    <w:t>通过数据可视化让学生进行数据分析。</w:t>
                  </w:r>
                </w:p>
              </w:tc>
              <w:tc>
                <w:tcPr>
                  <w:tcW w:w="1577" w:type="pct"/>
                  <w:tcBorders>
                    <w:top w:val="single" w:color="auto" w:sz="4" w:space="0"/>
                    <w:left w:val="single" w:color="auto" w:sz="4" w:space="0"/>
                    <w:bottom w:val="single" w:color="auto" w:sz="4" w:space="0"/>
                    <w:right w:val="single" w:color="auto" w:sz="4" w:space="0"/>
                  </w:tcBorders>
                  <w:vAlign w:val="center"/>
                </w:tcPr>
                <w:p w14:paraId="7B25B3B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通过对已有数据进行分析，重点针对学生的数据分析能力</w:t>
                  </w:r>
                </w:p>
              </w:tc>
            </w:tr>
            <w:tr w14:paraId="65CF8D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1" w:hRule="atLeast"/>
              </w:trPr>
              <w:tc>
                <w:tcPr>
                  <w:tcW w:w="908" w:type="pct"/>
                  <w:tcBorders>
                    <w:top w:val="single" w:color="auto" w:sz="4" w:space="0"/>
                    <w:left w:val="single" w:color="auto" w:sz="4" w:space="0"/>
                    <w:bottom w:val="single" w:color="auto" w:sz="4" w:space="0"/>
                    <w:right w:val="single" w:color="auto" w:sz="4" w:space="0"/>
                  </w:tcBorders>
                  <w:vAlign w:val="center"/>
                </w:tcPr>
                <w:p w14:paraId="5547C782">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应用范围</w:t>
                  </w:r>
                </w:p>
              </w:tc>
              <w:tc>
                <w:tcPr>
                  <w:tcW w:w="1256" w:type="pct"/>
                  <w:tcBorders>
                    <w:top w:val="single" w:color="auto" w:sz="4" w:space="0"/>
                    <w:left w:val="single" w:color="auto" w:sz="4" w:space="0"/>
                    <w:bottom w:val="single" w:color="auto" w:sz="4" w:space="0"/>
                    <w:right w:val="single" w:color="auto" w:sz="4" w:space="0"/>
                  </w:tcBorders>
                  <w:vAlign w:val="center"/>
                </w:tcPr>
                <w:p w14:paraId="0A89535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本科生（含一本、二本）</w:t>
                  </w:r>
                </w:p>
              </w:tc>
              <w:tc>
                <w:tcPr>
                  <w:tcW w:w="1256" w:type="pct"/>
                  <w:tcBorders>
                    <w:top w:val="single" w:color="auto" w:sz="4" w:space="0"/>
                    <w:left w:val="single" w:color="auto" w:sz="4" w:space="0"/>
                    <w:bottom w:val="single" w:color="auto" w:sz="4" w:space="0"/>
                    <w:right w:val="single" w:color="auto" w:sz="4" w:space="0"/>
                  </w:tcBorders>
                  <w:vAlign w:val="center"/>
                </w:tcPr>
                <w:p w14:paraId="133056C0">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主要面向中高职业院校为主，也可以面向本科</w:t>
                  </w:r>
                </w:p>
              </w:tc>
              <w:tc>
                <w:tcPr>
                  <w:tcW w:w="1577" w:type="pct"/>
                  <w:tcBorders>
                    <w:top w:val="single" w:color="auto" w:sz="4" w:space="0"/>
                    <w:left w:val="single" w:color="auto" w:sz="4" w:space="0"/>
                    <w:bottom w:val="single" w:color="auto" w:sz="4" w:space="0"/>
                    <w:right w:val="single" w:color="auto" w:sz="4" w:space="0"/>
                  </w:tcBorders>
                  <w:vAlign w:val="center"/>
                </w:tcPr>
                <w:p w14:paraId="4B9EAD25">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本科生</w:t>
                  </w:r>
                </w:p>
              </w:tc>
            </w:tr>
            <w:tr w14:paraId="68610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908" w:type="pct"/>
                  <w:tcBorders>
                    <w:top w:val="single" w:color="auto" w:sz="4" w:space="0"/>
                    <w:left w:val="single" w:color="auto" w:sz="4" w:space="0"/>
                    <w:bottom w:val="single" w:color="auto" w:sz="4" w:space="0"/>
                    <w:right w:val="single" w:color="auto" w:sz="4" w:space="0"/>
                  </w:tcBorders>
                  <w:vAlign w:val="center"/>
                </w:tcPr>
                <w:p w14:paraId="4037530C">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软件</w:t>
                  </w:r>
                </w:p>
                <w:p w14:paraId="4BD6E2DB">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特色</w:t>
                  </w:r>
                </w:p>
              </w:tc>
              <w:tc>
                <w:tcPr>
                  <w:tcW w:w="1256" w:type="pct"/>
                  <w:tcBorders>
                    <w:top w:val="single" w:color="auto" w:sz="4" w:space="0"/>
                    <w:left w:val="single" w:color="auto" w:sz="4" w:space="0"/>
                    <w:bottom w:val="single" w:color="auto" w:sz="4" w:space="0"/>
                    <w:right w:val="single" w:color="auto" w:sz="4" w:space="0"/>
                  </w:tcBorders>
                  <w:vAlign w:val="center"/>
                </w:tcPr>
                <w:p w14:paraId="1A641B8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业务全面、实验多样、趣味学习、切合供应链大数据的知识点</w:t>
                  </w:r>
                </w:p>
              </w:tc>
              <w:tc>
                <w:tcPr>
                  <w:tcW w:w="1256" w:type="pct"/>
                  <w:tcBorders>
                    <w:top w:val="single" w:color="auto" w:sz="4" w:space="0"/>
                    <w:left w:val="single" w:color="auto" w:sz="4" w:space="0"/>
                    <w:bottom w:val="single" w:color="auto" w:sz="4" w:space="0"/>
                    <w:right w:val="single" w:color="auto" w:sz="4" w:space="0"/>
                  </w:tcBorders>
                  <w:vAlign w:val="center"/>
                </w:tcPr>
                <w:p w14:paraId="0BFF1DD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切合实际、简单明了、老师容易操作</w:t>
                  </w:r>
                </w:p>
              </w:tc>
              <w:tc>
                <w:tcPr>
                  <w:tcW w:w="1577" w:type="pct"/>
                  <w:tcBorders>
                    <w:top w:val="single" w:color="auto" w:sz="4" w:space="0"/>
                    <w:left w:val="single" w:color="auto" w:sz="4" w:space="0"/>
                    <w:bottom w:val="single" w:color="auto" w:sz="4" w:space="0"/>
                    <w:right w:val="single" w:color="auto" w:sz="4" w:space="0"/>
                  </w:tcBorders>
                  <w:vAlign w:val="center"/>
                </w:tcPr>
                <w:p w14:paraId="028F7BBE">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着重在学生分析能力上进行加强</w:t>
                  </w:r>
                </w:p>
              </w:tc>
            </w:tr>
            <w:tr w14:paraId="51681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908" w:type="pct"/>
                  <w:tcBorders>
                    <w:top w:val="single" w:color="auto" w:sz="4" w:space="0"/>
                    <w:left w:val="single" w:color="auto" w:sz="4" w:space="0"/>
                    <w:bottom w:val="single" w:color="auto" w:sz="4" w:space="0"/>
                    <w:right w:val="single" w:color="auto" w:sz="4" w:space="0"/>
                  </w:tcBorders>
                  <w:vAlign w:val="center"/>
                </w:tcPr>
                <w:p w14:paraId="6ED2A979">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售后</w:t>
                  </w:r>
                </w:p>
                <w:p w14:paraId="1A0223D3">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服务</w:t>
                  </w:r>
                </w:p>
              </w:tc>
              <w:tc>
                <w:tcPr>
                  <w:tcW w:w="1256" w:type="pct"/>
                  <w:tcBorders>
                    <w:top w:val="single" w:color="auto" w:sz="4" w:space="0"/>
                    <w:left w:val="single" w:color="auto" w:sz="4" w:space="0"/>
                    <w:bottom w:val="single" w:color="auto" w:sz="4" w:space="0"/>
                    <w:right w:val="single" w:color="auto" w:sz="4" w:space="0"/>
                  </w:tcBorders>
                  <w:vAlign w:val="center"/>
                </w:tcPr>
                <w:p w14:paraId="18BDF187">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永久使用，3年质保期和免费升级服务，质保期后可远程免费升级。</w:t>
                  </w:r>
                </w:p>
              </w:tc>
              <w:tc>
                <w:tcPr>
                  <w:tcW w:w="1256" w:type="pct"/>
                  <w:tcBorders>
                    <w:top w:val="single" w:color="auto" w:sz="4" w:space="0"/>
                    <w:left w:val="single" w:color="auto" w:sz="4" w:space="0"/>
                    <w:bottom w:val="single" w:color="auto" w:sz="4" w:space="0"/>
                    <w:right w:val="single" w:color="auto" w:sz="4" w:space="0"/>
                  </w:tcBorders>
                  <w:vAlign w:val="center"/>
                </w:tcPr>
                <w:p w14:paraId="294F15A0">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 3年质保期和免费升级服务</w:t>
                  </w:r>
                </w:p>
              </w:tc>
              <w:tc>
                <w:tcPr>
                  <w:tcW w:w="1577" w:type="pct"/>
                  <w:tcBorders>
                    <w:top w:val="single" w:color="auto" w:sz="4" w:space="0"/>
                    <w:left w:val="single" w:color="auto" w:sz="4" w:space="0"/>
                    <w:bottom w:val="single" w:color="auto" w:sz="4" w:space="0"/>
                    <w:right w:val="single" w:color="auto" w:sz="4" w:space="0"/>
                  </w:tcBorders>
                  <w:vAlign w:val="center"/>
                </w:tcPr>
                <w:p w14:paraId="01420151">
                  <w:pPr>
                    <w:pStyle w:val="2"/>
                    <w:pageBreakBefore w:val="0"/>
                    <w:kinsoku/>
                    <w:wordWrap/>
                    <w:overflowPunct/>
                    <w:topLinePunct w:val="0"/>
                    <w:autoSpaceDE/>
                    <w:autoSpaceDN/>
                    <w:bidi w:val="0"/>
                    <w:adjustRightInd w:val="0"/>
                    <w:snapToGrid w:val="0"/>
                    <w:spacing w:after="0" w:line="360" w:lineRule="auto"/>
                    <w:ind w:left="0" w:leftChars="0" w:firstLine="0" w:firstLineChars="0"/>
                    <w:rPr>
                      <w:rFonts w:hint="eastAsia" w:ascii="仿宋" w:hAnsi="仿宋" w:eastAsia="仿宋" w:cs="仿宋"/>
                      <w:sz w:val="28"/>
                      <w:szCs w:val="28"/>
                    </w:rPr>
                  </w:pPr>
                  <w:r>
                    <w:rPr>
                      <w:rFonts w:hint="eastAsia" w:ascii="仿宋" w:hAnsi="仿宋" w:eastAsia="仿宋" w:cs="仿宋"/>
                      <w:sz w:val="28"/>
                      <w:szCs w:val="28"/>
                    </w:rPr>
                    <w:t>3年质保期和免费升级服务，质保期后如需服务费用再行商议。</w:t>
                  </w:r>
                </w:p>
              </w:tc>
            </w:tr>
          </w:tbl>
          <w:p w14:paraId="0EF19DA6">
            <w:pPr>
              <w:pStyle w:val="2"/>
              <w:pageBreakBefore w:val="0"/>
              <w:kinsoku/>
              <w:wordWrap/>
              <w:overflowPunct/>
              <w:topLinePunct w:val="0"/>
              <w:autoSpaceDE/>
              <w:autoSpaceDN/>
              <w:bidi w:val="0"/>
              <w:adjustRightInd w:val="0"/>
              <w:snapToGrid w:val="0"/>
              <w:spacing w:after="0" w:line="360" w:lineRule="auto"/>
              <w:ind w:left="548" w:firstLine="548"/>
            </w:pPr>
          </w:p>
        </w:tc>
      </w:tr>
      <w:tr w14:paraId="6875C553">
        <w:tblPrEx>
          <w:tblCellMar>
            <w:top w:w="0" w:type="dxa"/>
            <w:left w:w="108" w:type="dxa"/>
            <w:bottom w:w="0" w:type="dxa"/>
            <w:right w:w="108" w:type="dxa"/>
          </w:tblCellMar>
        </w:tblPrEx>
        <w:trPr>
          <w:trHeight w:val="2779"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5E7DBD75">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实施方案可行性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7C9C4DAE">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1、实验用房</w:t>
            </w:r>
          </w:p>
          <w:p w14:paraId="4C278578">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学院坚持“以学生为本，为产业服务”的办学理念，重视理论教学与实践应用相结合，注重应用型人才的培养，办学条件良好。拥有财政部中央与地方共建的商务综合实训中心、全国高校电子商务与电子政务联合实验室XX学院点，以及经济综合模拟实验室、电子商务创业实验室、会计情景模拟实验室、沙盘商务实战演练实训室、电子呼叫中心、案例分析室等17个实验室以及配置完善的多媒体教学系统。目前学校已经有机房，无需新建或改造实验室，硬件环境已满足实验教学需要，实施起来相对容易很多。</w:t>
            </w:r>
          </w:p>
          <w:p w14:paraId="3B9CF0B1">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2、项目建设的人员条件</w:t>
            </w:r>
          </w:p>
          <w:p w14:paraId="5B9098F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学院拥有一支教学经验丰富、梯队结构合理的师资队伍，现有教职工140人，专任教师中高级职称占70%以上,硕博比例90%以上。经过多年的积累，逐渐形成师资力量较强，年龄结构合理，学术思想活跃的教学团队。在国内外权威和核心等各类刊物上发表学术论文数百篇，科研成果数十项。师资力量强大，具有专门负责此课程教学工作的能力。</w:t>
            </w:r>
          </w:p>
          <w:p w14:paraId="79F41507">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3、课程建设资料</w:t>
            </w:r>
          </w:p>
          <w:p w14:paraId="1D0F244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该产品具备课程建设资料，如教学大纲、实训方案等，为接下来课程开展提供支持。</w:t>
            </w:r>
          </w:p>
        </w:tc>
      </w:tr>
      <w:tr w14:paraId="74EB48E7">
        <w:tblPrEx>
          <w:tblCellMar>
            <w:top w:w="0" w:type="dxa"/>
            <w:left w:w="108" w:type="dxa"/>
            <w:bottom w:w="0" w:type="dxa"/>
            <w:right w:w="108" w:type="dxa"/>
          </w:tblCellMar>
        </w:tblPrEx>
        <w:trPr>
          <w:trHeight w:val="1296"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432CE4A7">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绩效目标合理性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7922C346">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项目建设目标设定为解决物流相关专业的实际问题，绩效目标与专业长期规划相关，与总体目标一致，与项目设计解决的问题相匹配，绩效目标与测算依据和标准匹配度一致，呼应总体目标，并且具有一定的前瞻性和挑战性。制定有具体明确的绩效指标，可考核性较强，绩效目标设置较为合理。详情如下：</w:t>
            </w:r>
          </w:p>
          <w:tbl>
            <w:tblPr>
              <w:tblStyle w:val="8"/>
              <w:tblW w:w="7499" w:type="dxa"/>
              <w:tblInd w:w="15" w:type="dxa"/>
              <w:tblLayout w:type="fixed"/>
              <w:tblCellMar>
                <w:top w:w="0" w:type="dxa"/>
                <w:left w:w="0" w:type="dxa"/>
                <w:bottom w:w="0" w:type="dxa"/>
                <w:right w:w="0" w:type="dxa"/>
              </w:tblCellMar>
            </w:tblPr>
            <w:tblGrid>
              <w:gridCol w:w="1191"/>
              <w:gridCol w:w="1308"/>
              <w:gridCol w:w="2500"/>
              <w:gridCol w:w="2500"/>
            </w:tblGrid>
            <w:tr w14:paraId="5955684B">
              <w:tblPrEx>
                <w:tblCellMar>
                  <w:top w:w="0" w:type="dxa"/>
                  <w:left w:w="0" w:type="dxa"/>
                  <w:bottom w:w="0" w:type="dxa"/>
                  <w:right w:w="0" w:type="dxa"/>
                </w:tblCellMar>
              </w:tblPrEx>
              <w:trPr>
                <w:trHeight w:val="660" w:hRule="atLeast"/>
              </w:trPr>
              <w:tc>
                <w:tcPr>
                  <w:tcW w:w="11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CB165B">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一级指标</w:t>
                  </w:r>
                </w:p>
              </w:tc>
              <w:tc>
                <w:tcPr>
                  <w:tcW w:w="13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D63843">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二级指标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2D8CC0">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三级指标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3A48D8">
                  <w:pPr>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b/>
                      <w:bCs/>
                      <w:color w:val="000000"/>
                      <w:sz w:val="28"/>
                      <w:szCs w:val="28"/>
                    </w:rPr>
                  </w:pPr>
                  <w:r>
                    <w:rPr>
                      <w:rFonts w:hint="eastAsia" w:ascii="仿宋" w:hAnsi="仿宋" w:eastAsia="仿宋" w:cs="仿宋"/>
                      <w:b/>
                      <w:bCs/>
                      <w:color w:val="000000"/>
                      <w:kern w:val="0"/>
                      <w:sz w:val="28"/>
                      <w:szCs w:val="28"/>
                      <w:lang w:bidi="ar"/>
                    </w:rPr>
                    <w:t>指标值</w:t>
                  </w:r>
                </w:p>
              </w:tc>
            </w:tr>
            <w:tr w14:paraId="181F37B4">
              <w:tblPrEx>
                <w:tblCellMar>
                  <w:top w:w="0" w:type="dxa"/>
                  <w:left w:w="0" w:type="dxa"/>
                  <w:bottom w:w="0" w:type="dxa"/>
                  <w:right w:w="0" w:type="dxa"/>
                </w:tblCellMar>
              </w:tblPrEx>
              <w:trPr>
                <w:trHeight w:val="1256"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B976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产出指标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CEBD0">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数量指标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A64F5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每学年承担实验教学计划内学时数(48课时×班级数量)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0EB4D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≥192</w:t>
                  </w:r>
                </w:p>
              </w:tc>
            </w:tr>
            <w:tr w14:paraId="7566828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520ED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43980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96558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上课人数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4C42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≥300</w:t>
                  </w:r>
                </w:p>
              </w:tc>
            </w:tr>
            <w:tr w14:paraId="6EC6911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28F779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4EA5E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质量指标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CC3786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新开实训课程的培训完成率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390D26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w:t>
                  </w:r>
                </w:p>
              </w:tc>
            </w:tr>
            <w:tr w14:paraId="047E58FB">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BBFD3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6890D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81A15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软件稳定性</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4ED514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运行流畅</w:t>
                  </w:r>
                </w:p>
              </w:tc>
            </w:tr>
            <w:tr w14:paraId="67C3409F">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065EB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1AFD3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时效指标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AA96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合同有效期内</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5B17D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3年</w:t>
                  </w:r>
                </w:p>
              </w:tc>
            </w:tr>
            <w:tr w14:paraId="32161013">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07047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E5B6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CE304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服务器响应次数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F304A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每分钟60次</w:t>
                  </w:r>
                </w:p>
              </w:tc>
            </w:tr>
            <w:tr w14:paraId="549A0E95">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BC14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EA1CC5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成本指标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03782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节约纸张等资源</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CBA67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2万</w:t>
                  </w:r>
                </w:p>
              </w:tc>
            </w:tr>
            <w:tr w14:paraId="0AE3EDCA">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24E22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E2B4D7">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27083A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受训人均成本</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178FA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≤800元/人</w:t>
                  </w:r>
                </w:p>
              </w:tc>
            </w:tr>
            <w:tr w14:paraId="10B22B24">
              <w:tblPrEx>
                <w:tblCellMar>
                  <w:top w:w="0" w:type="dxa"/>
                  <w:left w:w="0" w:type="dxa"/>
                  <w:bottom w:w="0" w:type="dxa"/>
                  <w:right w:w="0" w:type="dxa"/>
                </w:tblCellMar>
              </w:tblPrEx>
              <w:trPr>
                <w:trHeight w:val="660"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B8B95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效益指标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9E95D9">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经济效益</w:t>
                  </w:r>
                </w:p>
                <w:p w14:paraId="07EC554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2A042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增加实践教学环节</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92605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1个</w:t>
                  </w:r>
                </w:p>
              </w:tc>
            </w:tr>
            <w:tr w14:paraId="6867A933">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E808A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AC1F5F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CEDEB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支撑实验课程门数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2D0EE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1门</w:t>
                  </w:r>
                </w:p>
              </w:tc>
            </w:tr>
            <w:tr w14:paraId="21BFEEAE">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6CF5BF">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A6B81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社会效益</w:t>
                  </w:r>
                </w:p>
                <w:p w14:paraId="4ED4A2D2">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987EA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可作为开发平台，对外服务，服务人数</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7F2C6C">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≥10000</w:t>
                  </w:r>
                </w:p>
              </w:tc>
            </w:tr>
            <w:tr w14:paraId="0AAE7B49">
              <w:tblPrEx>
                <w:tblCellMar>
                  <w:top w:w="0" w:type="dxa"/>
                  <w:left w:w="0" w:type="dxa"/>
                  <w:bottom w:w="0" w:type="dxa"/>
                  <w:right w:w="0" w:type="dxa"/>
                </w:tblCellMar>
              </w:tblPrEx>
              <w:trPr>
                <w:trHeight w:val="660"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2BD129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DBD88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A521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提升大数据分析和编程能力</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A2646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逐步提高</w:t>
                  </w:r>
                </w:p>
              </w:tc>
            </w:tr>
            <w:tr w14:paraId="23CEE65D">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036A51D">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D2FCB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生态效益</w:t>
                  </w:r>
                </w:p>
                <w:p w14:paraId="074A1F9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CE261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减少一次性材料使用</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1E094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5万</w:t>
                  </w:r>
                </w:p>
              </w:tc>
            </w:tr>
            <w:tr w14:paraId="1D53F525">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631D3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1A3C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可持续影响指标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4ED90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提升本校供应链大数据分析实验室建设实力，知名度</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EEBA4">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逐渐提高</w:t>
                  </w:r>
                </w:p>
              </w:tc>
            </w:tr>
            <w:tr w14:paraId="4F4E63CF">
              <w:tblPrEx>
                <w:tblCellMar>
                  <w:top w:w="0" w:type="dxa"/>
                  <w:left w:w="0" w:type="dxa"/>
                  <w:bottom w:w="0" w:type="dxa"/>
                  <w:right w:w="0" w:type="dxa"/>
                </w:tblCellMar>
              </w:tblPrEx>
              <w:trPr>
                <w:trHeight w:val="1256"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D6D6B6">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6EA6A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A1970A">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采用政府采购，支出按照预算安排执行，成本相对合理</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1A9961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严格控制在预算内</w:t>
                  </w:r>
                </w:p>
              </w:tc>
            </w:tr>
            <w:tr w14:paraId="763623BA">
              <w:tblPrEx>
                <w:tblCellMar>
                  <w:top w:w="0" w:type="dxa"/>
                  <w:left w:w="0" w:type="dxa"/>
                  <w:bottom w:w="0" w:type="dxa"/>
                  <w:right w:w="0" w:type="dxa"/>
                </w:tblCellMar>
              </w:tblPrEx>
              <w:trPr>
                <w:trHeight w:val="660" w:hRule="atLeast"/>
              </w:trPr>
              <w:tc>
                <w:tcPr>
                  <w:tcW w:w="1191"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E69DAC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r>
                    <w:rPr>
                      <w:rFonts w:hint="eastAsia" w:ascii="仿宋" w:hAnsi="仿宋" w:eastAsia="仿宋" w:cs="仿宋"/>
                      <w:kern w:val="0"/>
                      <w:sz w:val="28"/>
                      <w:szCs w:val="28"/>
                    </w:rPr>
                    <w:t>满意度指标</w:t>
                  </w:r>
                </w:p>
              </w:tc>
              <w:tc>
                <w:tcPr>
                  <w:tcW w:w="130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385CA5E">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服务对象满意度指标</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FA3648">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学生对教学内容方式更加满意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5DDEE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满意度不断提高</w:t>
                  </w:r>
                </w:p>
              </w:tc>
            </w:tr>
            <w:tr w14:paraId="0FCDA6B5">
              <w:tblPrEx>
                <w:tblCellMar>
                  <w:top w:w="0" w:type="dxa"/>
                  <w:left w:w="0" w:type="dxa"/>
                  <w:bottom w:w="0" w:type="dxa"/>
                  <w:right w:w="0" w:type="dxa"/>
                </w:tblCellMar>
              </w:tblPrEx>
              <w:trPr>
                <w:trHeight w:val="689" w:hRule="atLeast"/>
              </w:trPr>
              <w:tc>
                <w:tcPr>
                  <w:tcW w:w="1191"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F3EBB">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sz w:val="28"/>
                      <w:szCs w:val="28"/>
                    </w:rPr>
                  </w:pPr>
                </w:p>
              </w:tc>
              <w:tc>
                <w:tcPr>
                  <w:tcW w:w="130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BC9615">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A51DFE3">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kern w:val="0"/>
                      <w:sz w:val="28"/>
                      <w:szCs w:val="28"/>
                    </w:rPr>
                  </w:pPr>
                  <w:r>
                    <w:rPr>
                      <w:rFonts w:hint="eastAsia" w:ascii="仿宋" w:hAnsi="仿宋" w:eastAsia="仿宋" w:cs="仿宋"/>
                      <w:kern w:val="0"/>
                      <w:sz w:val="28"/>
                      <w:szCs w:val="28"/>
                    </w:rPr>
                    <w:t>老师对课程设置结构更加满意</w:t>
                  </w:r>
                </w:p>
              </w:tc>
              <w:tc>
                <w:tcPr>
                  <w:tcW w:w="25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1EBF01">
                  <w:pPr>
                    <w:pageBreakBefore w:val="0"/>
                    <w:widowControl/>
                    <w:kinsoku/>
                    <w:wordWrap/>
                    <w:overflowPunct/>
                    <w:topLinePunct w:val="0"/>
                    <w:autoSpaceDE/>
                    <w:autoSpaceDN/>
                    <w:bidi w:val="0"/>
                    <w:adjustRightInd w:val="0"/>
                    <w:snapToGrid w:val="0"/>
                    <w:spacing w:line="360" w:lineRule="auto"/>
                    <w:jc w:val="center"/>
                    <w:rPr>
                      <w:rFonts w:hint="eastAsia" w:ascii="仿宋" w:hAnsi="仿宋" w:eastAsia="仿宋" w:cs="仿宋"/>
                      <w:b/>
                      <w:bCs/>
                      <w:color w:val="000000"/>
                      <w:kern w:val="0"/>
                      <w:sz w:val="28"/>
                      <w:szCs w:val="28"/>
                      <w:lang w:bidi="ar"/>
                    </w:rPr>
                  </w:pPr>
                  <w:r>
                    <w:rPr>
                      <w:rFonts w:hint="eastAsia" w:ascii="仿宋" w:hAnsi="仿宋" w:eastAsia="仿宋" w:cs="仿宋"/>
                      <w:kern w:val="0"/>
                      <w:sz w:val="28"/>
                      <w:szCs w:val="28"/>
                    </w:rPr>
                    <w:t>满意度不断提高</w:t>
                  </w:r>
                </w:p>
              </w:tc>
            </w:tr>
          </w:tbl>
          <w:p w14:paraId="18A4360C">
            <w:pPr>
              <w:pageBreakBefore w:val="0"/>
              <w:kinsoku/>
              <w:wordWrap/>
              <w:overflowPunct/>
              <w:topLinePunct w:val="0"/>
              <w:autoSpaceDE/>
              <w:autoSpaceDN/>
              <w:bidi w:val="0"/>
              <w:adjustRightInd w:val="0"/>
              <w:snapToGrid w:val="0"/>
              <w:spacing w:line="360" w:lineRule="auto"/>
            </w:pPr>
          </w:p>
        </w:tc>
      </w:tr>
      <w:tr w14:paraId="25323554">
        <w:tblPrEx>
          <w:tblCellMar>
            <w:top w:w="0" w:type="dxa"/>
            <w:left w:w="108" w:type="dxa"/>
            <w:bottom w:w="0" w:type="dxa"/>
            <w:right w:w="108" w:type="dxa"/>
          </w:tblCellMar>
        </w:tblPrEx>
        <w:trPr>
          <w:trHeight w:val="1254"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083BE69C">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筹资合规性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4B56D3F6">
            <w:pPr>
              <w:pageBreakBefore w:val="0"/>
              <w:kinsoku/>
              <w:wordWrap/>
              <w:overflowPunct/>
              <w:topLinePunct w:val="0"/>
              <w:autoSpaceDE/>
              <w:autoSpaceDN/>
              <w:bidi w:val="0"/>
              <w:adjustRightInd w:val="0"/>
              <w:snapToGrid w:val="0"/>
              <w:spacing w:line="360" w:lineRule="auto"/>
              <w:ind w:firstLine="548" w:firstLineChars="200"/>
              <w:rPr>
                <w:rFonts w:hint="eastAsia" w:ascii="宋体" w:hAnsi="宋体" w:cs="黑体"/>
                <w:sz w:val="32"/>
                <w:szCs w:val="21"/>
              </w:rPr>
            </w:pPr>
            <w:r>
              <w:rPr>
                <w:rFonts w:hint="eastAsia" w:ascii="仿宋" w:hAnsi="仿宋" w:eastAsia="仿宋" w:cs="仿宋"/>
                <w:szCs w:val="30"/>
              </w:rPr>
              <w:t>预算资金报学院、学校领导审批同意，供应链大数据分析项目采用资产处主导，学院与学校配合，计划资金来源渠道符合相关规定，经过相关论证，资金筹措程序科学规范。</w:t>
            </w:r>
          </w:p>
        </w:tc>
      </w:tr>
      <w:tr w14:paraId="5EE56B8C">
        <w:tblPrEx>
          <w:tblCellMar>
            <w:top w:w="0" w:type="dxa"/>
            <w:left w:w="108" w:type="dxa"/>
            <w:bottom w:w="0" w:type="dxa"/>
            <w:right w:w="108" w:type="dxa"/>
          </w:tblCellMar>
        </w:tblPrEx>
        <w:trPr>
          <w:trHeight w:val="1254"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2B553569">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投入经济性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32FE419C">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为建设好供应链大数据分析项目，充分发挥智慧物流、大数据的引领作用，更好地适应当前物流相关专业实验教学的蓬勃发展，深化大数据分析与教学实践相融合。前期进行了充分的考察调研，与成都杰科力科技进行多次沟通，同时也参考学院前期相关实训室采购信息。充分考虑了资源共享和不重复建设因素，以及后续拓展编制预算。本次拟建设供应链大数据分析项目，预计需要配套服务器1台，学生电脑至少24台，</w:t>
            </w:r>
            <w:r>
              <w:rPr>
                <w:rFonts w:hint="eastAsia" w:ascii="仿宋" w:hAnsi="仿宋" w:eastAsia="仿宋" w:cs="仿宋"/>
                <w:szCs w:val="30"/>
                <w:lang w:eastAsia="zh-CN"/>
              </w:rPr>
              <w:t>供应链AI大数据教学平台</w:t>
            </w:r>
            <w:r>
              <w:rPr>
                <w:rFonts w:hint="eastAsia" w:ascii="仿宋" w:hAnsi="仿宋" w:eastAsia="仿宋" w:cs="仿宋"/>
                <w:szCs w:val="30"/>
              </w:rPr>
              <w:t>1套，沙盘桌子及投影仪可直接利用现有机房设施设备。</w:t>
            </w:r>
          </w:p>
          <w:p w14:paraId="4429D69B">
            <w:pPr>
              <w:pageBreakBefore w:val="0"/>
              <w:kinsoku/>
              <w:wordWrap/>
              <w:overflowPunct/>
              <w:topLinePunct w:val="0"/>
              <w:autoSpaceDE/>
              <w:autoSpaceDN/>
              <w:bidi w:val="0"/>
              <w:adjustRightInd w:val="0"/>
              <w:snapToGrid w:val="0"/>
              <w:spacing w:line="360" w:lineRule="auto"/>
              <w:ind w:firstLine="548" w:firstLineChars="200"/>
              <w:rPr>
                <w:rFonts w:hint="eastAsia" w:ascii="仿宋" w:hAnsi="仿宋" w:eastAsia="仿宋" w:cs="仿宋"/>
                <w:szCs w:val="30"/>
              </w:rPr>
            </w:pPr>
            <w:r>
              <w:rPr>
                <w:rFonts w:hint="eastAsia" w:ascii="仿宋" w:hAnsi="仿宋" w:eastAsia="仿宋" w:cs="仿宋"/>
                <w:szCs w:val="30"/>
              </w:rPr>
              <w:t>由于现有实验室已具备服务器、学生电脑、沙盘桌子、投影仪等硬件可不用再采购，只需采购</w:t>
            </w:r>
            <w:r>
              <w:rPr>
                <w:rFonts w:hint="eastAsia" w:ascii="仿宋" w:hAnsi="仿宋" w:eastAsia="仿宋" w:cs="仿宋"/>
                <w:szCs w:val="30"/>
                <w:lang w:eastAsia="zh-CN"/>
              </w:rPr>
              <w:t>供应链AI大数据教学平台</w:t>
            </w:r>
            <w:r>
              <w:rPr>
                <w:rFonts w:hint="eastAsia" w:ascii="仿宋" w:hAnsi="仿宋" w:eastAsia="仿宋" w:cs="仿宋"/>
                <w:szCs w:val="30"/>
              </w:rPr>
              <w:t>预算XX万元，包括教学资料、软件、完善的售后服务。</w:t>
            </w:r>
          </w:p>
          <w:tbl>
            <w:tblPr>
              <w:tblStyle w:val="9"/>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4"/>
              <w:gridCol w:w="4765"/>
            </w:tblGrid>
            <w:tr w14:paraId="784D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150" w:type="dxa"/>
                </w:tcPr>
                <w:p w14:paraId="3DFC6692">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评估内容</w:t>
                  </w:r>
                </w:p>
              </w:tc>
              <w:tc>
                <w:tcPr>
                  <w:tcW w:w="4269" w:type="dxa"/>
                </w:tcPr>
                <w:p w14:paraId="70D7A59C">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评估结果</w:t>
                  </w:r>
                </w:p>
              </w:tc>
            </w:tr>
            <w:tr w14:paraId="5F5A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3150" w:type="dxa"/>
                </w:tcPr>
                <w:p w14:paraId="00D97509">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预算测算遵循哪些规范的支出标准依据</w:t>
                  </w:r>
                </w:p>
              </w:tc>
              <w:tc>
                <w:tcPr>
                  <w:tcW w:w="4269" w:type="dxa"/>
                </w:tcPr>
                <w:p w14:paraId="65B172D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预算测算依据自评原则编制，符合绩效目标表-成本指标规范。</w:t>
                  </w:r>
                </w:p>
              </w:tc>
            </w:tr>
            <w:tr w14:paraId="5609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3150" w:type="dxa"/>
                </w:tcPr>
                <w:p w14:paraId="42781EF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预算安排和绩效目标的匹配情况</w:t>
                  </w:r>
                </w:p>
              </w:tc>
              <w:tc>
                <w:tcPr>
                  <w:tcW w:w="4269" w:type="dxa"/>
                </w:tcPr>
                <w:p w14:paraId="130ED41B">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预算安排与绩效目标匹配度一致。</w:t>
                  </w:r>
                </w:p>
              </w:tc>
            </w:tr>
            <w:tr w14:paraId="13FF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3150" w:type="dxa"/>
                </w:tcPr>
                <w:p w14:paraId="562D1C94">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采取什么措施以较低成本实现绩效目标</w:t>
                  </w:r>
                </w:p>
              </w:tc>
              <w:tc>
                <w:tcPr>
                  <w:tcW w:w="4269" w:type="dxa"/>
                </w:tcPr>
                <w:p w14:paraId="23F7CBA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尽可能利用现有实验室设备设施，充分利用系统所带来的附加效益，以较低成本实现绩效目标。</w:t>
                  </w:r>
                </w:p>
              </w:tc>
            </w:tr>
            <w:tr w14:paraId="65959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50" w:type="dxa"/>
                </w:tcPr>
                <w:p w14:paraId="3019873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有哪些节约成本或杜绝浪费的措施</w:t>
                  </w:r>
                </w:p>
              </w:tc>
              <w:tc>
                <w:tcPr>
                  <w:tcW w:w="4269" w:type="dxa"/>
                </w:tcPr>
                <w:p w14:paraId="6F7DB751">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可直接利用学院实验室现有设备设施，节约成本，再加上该项目为B/S架构，所有上课资料都已嵌入系统中，如课件、学员手册、操作视频，且配备电子版资料将节约纸张等资源，可减少一次性材料使用。</w:t>
                  </w:r>
                </w:p>
              </w:tc>
            </w:tr>
            <w:tr w14:paraId="456E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50" w:type="dxa"/>
                </w:tcPr>
                <w:p w14:paraId="158A2775">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 xml:space="preserve">有哪些提高预算使用效率的措施或预案等 </w:t>
                  </w:r>
                </w:p>
              </w:tc>
              <w:tc>
                <w:tcPr>
                  <w:tcW w:w="4269" w:type="dxa"/>
                </w:tcPr>
                <w:p w14:paraId="2D271097">
                  <w:pPr>
                    <w:pageBreakBefore w:val="0"/>
                    <w:kinsoku/>
                    <w:wordWrap/>
                    <w:overflowPunct/>
                    <w:topLinePunct w:val="0"/>
                    <w:autoSpaceDE/>
                    <w:autoSpaceDN/>
                    <w:bidi w:val="0"/>
                    <w:adjustRightInd w:val="0"/>
                    <w:snapToGrid w:val="0"/>
                    <w:spacing w:line="360" w:lineRule="auto"/>
                    <w:ind w:firstLine="508" w:firstLineChars="200"/>
                    <w:rPr>
                      <w:rFonts w:hint="eastAsia" w:ascii="仿宋" w:hAnsi="仿宋" w:eastAsia="仿宋" w:cs="仿宋"/>
                      <w:sz w:val="28"/>
                      <w:szCs w:val="28"/>
                    </w:rPr>
                  </w:pPr>
                  <w:r>
                    <w:rPr>
                      <w:rFonts w:hint="eastAsia" w:ascii="仿宋" w:hAnsi="仿宋" w:eastAsia="仿宋" w:cs="仿宋"/>
                      <w:sz w:val="28"/>
                      <w:szCs w:val="28"/>
                    </w:rPr>
                    <w:t>可从每学年承担实验教学计划课时、上课人数、上课人数、新开实训课成培训完成率、受训人均成本、支持对外服务等方面提高预算使用效率。</w:t>
                  </w:r>
                </w:p>
                <w:tbl>
                  <w:tblPr>
                    <w:tblStyle w:val="8"/>
                    <w:tblpPr w:leftFromText="180" w:rightFromText="180" w:vertAnchor="text" w:horzAnchor="page" w:tblpXSpec="center" w:tblpY="595"/>
                    <w:tblOverlap w:val="never"/>
                    <w:tblW w:w="4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317"/>
                    <w:gridCol w:w="1998"/>
                  </w:tblGrid>
                  <w:tr w14:paraId="76DB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50936E1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每学年承担实验教学计划内学时数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20B79CBD">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48课时×班级数量≥192课时</w:t>
                        </w:r>
                      </w:p>
                    </w:tc>
                    <w:tc>
                      <w:tcPr>
                        <w:tcW w:w="1998" w:type="dxa"/>
                        <w:tcBorders>
                          <w:top w:val="single" w:color="auto" w:sz="4" w:space="0"/>
                          <w:left w:val="single" w:color="auto" w:sz="4" w:space="0"/>
                          <w:bottom w:val="single" w:color="auto" w:sz="4" w:space="0"/>
                          <w:right w:val="single" w:color="auto" w:sz="4" w:space="0"/>
                        </w:tcBorders>
                        <w:noWrap/>
                        <w:vAlign w:val="center"/>
                      </w:tcPr>
                      <w:p w14:paraId="149526AF">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建成后每学年支持上课160课时以上</w:t>
                        </w:r>
                      </w:p>
                    </w:tc>
                  </w:tr>
                  <w:tr w14:paraId="15C6C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3472425C">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上课人数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0CD08F3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授课人数≥300人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6AC22A1B">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建成后授课人数300人次以上</w:t>
                        </w:r>
                      </w:p>
                    </w:tc>
                  </w:tr>
                  <w:tr w14:paraId="056E4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2E765BC1">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新开实训课程的培训完成率</w:t>
                        </w:r>
                      </w:p>
                    </w:tc>
                    <w:tc>
                      <w:tcPr>
                        <w:tcW w:w="1317" w:type="dxa"/>
                        <w:tcBorders>
                          <w:top w:val="single" w:color="auto" w:sz="4" w:space="0"/>
                          <w:left w:val="single" w:color="auto" w:sz="4" w:space="0"/>
                          <w:bottom w:val="single" w:color="auto" w:sz="4" w:space="0"/>
                          <w:right w:val="single" w:color="auto" w:sz="4" w:space="0"/>
                        </w:tcBorders>
                        <w:noWrap/>
                        <w:vAlign w:val="center"/>
                      </w:tcPr>
                      <w:p w14:paraId="3886915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培训数量/新开实训课数量≥100%</w:t>
                        </w:r>
                      </w:p>
                    </w:tc>
                    <w:tc>
                      <w:tcPr>
                        <w:tcW w:w="1998" w:type="dxa"/>
                        <w:tcBorders>
                          <w:top w:val="single" w:color="auto" w:sz="4" w:space="0"/>
                          <w:left w:val="single" w:color="auto" w:sz="4" w:space="0"/>
                          <w:bottom w:val="single" w:color="auto" w:sz="4" w:space="0"/>
                          <w:right w:val="single" w:color="auto" w:sz="4" w:space="0"/>
                        </w:tcBorders>
                        <w:noWrap/>
                        <w:vAlign w:val="center"/>
                      </w:tcPr>
                      <w:p w14:paraId="5D9AAE7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新开实训课程的培训全部完成</w:t>
                        </w:r>
                      </w:p>
                    </w:tc>
                  </w:tr>
                  <w:tr w14:paraId="258D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7AAE3152">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受训人均成本</w:t>
                        </w:r>
                      </w:p>
                    </w:tc>
                    <w:tc>
                      <w:tcPr>
                        <w:tcW w:w="1317" w:type="dxa"/>
                        <w:tcBorders>
                          <w:top w:val="single" w:color="auto" w:sz="4" w:space="0"/>
                          <w:left w:val="single" w:color="auto" w:sz="4" w:space="0"/>
                          <w:bottom w:val="single" w:color="auto" w:sz="4" w:space="0"/>
                          <w:right w:val="single" w:color="auto" w:sz="4" w:space="0"/>
                        </w:tcBorders>
                        <w:noWrap/>
                        <w:vAlign w:val="center"/>
                      </w:tcPr>
                      <w:p w14:paraId="3F04B669">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培训授课老师≤800元/人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263D4F43">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受训人均成本小于800元</w:t>
                        </w:r>
                      </w:p>
                    </w:tc>
                  </w:tr>
                  <w:tr w14:paraId="72C0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1224" w:type="dxa"/>
                        <w:tcBorders>
                          <w:top w:val="single" w:color="auto" w:sz="4" w:space="0"/>
                          <w:left w:val="single" w:color="auto" w:sz="4" w:space="0"/>
                          <w:bottom w:val="single" w:color="auto" w:sz="4" w:space="0"/>
                          <w:right w:val="single" w:color="auto" w:sz="4" w:space="0"/>
                        </w:tcBorders>
                        <w:noWrap/>
                        <w:vAlign w:val="center"/>
                      </w:tcPr>
                      <w:p w14:paraId="40C4A83A">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支持对外服务人数</w:t>
                        </w:r>
                      </w:p>
                    </w:tc>
                    <w:tc>
                      <w:tcPr>
                        <w:tcW w:w="1317" w:type="dxa"/>
                        <w:tcBorders>
                          <w:top w:val="single" w:color="auto" w:sz="4" w:space="0"/>
                          <w:left w:val="single" w:color="auto" w:sz="4" w:space="0"/>
                          <w:bottom w:val="single" w:color="auto" w:sz="4" w:space="0"/>
                          <w:right w:val="single" w:color="auto" w:sz="4" w:space="0"/>
                        </w:tcBorders>
                        <w:noWrap/>
                        <w:vAlign w:val="center"/>
                      </w:tcPr>
                      <w:p w14:paraId="2A47DEA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参与平台学习≥10000人</w:t>
                        </w:r>
                      </w:p>
                    </w:tc>
                    <w:tc>
                      <w:tcPr>
                        <w:tcW w:w="1998" w:type="dxa"/>
                        <w:tcBorders>
                          <w:top w:val="single" w:color="auto" w:sz="4" w:space="0"/>
                          <w:left w:val="single" w:color="auto" w:sz="4" w:space="0"/>
                          <w:bottom w:val="single" w:color="auto" w:sz="4" w:space="0"/>
                          <w:right w:val="single" w:color="auto" w:sz="4" w:space="0"/>
                        </w:tcBorders>
                        <w:noWrap/>
                        <w:vAlign w:val="center"/>
                      </w:tcPr>
                      <w:p w14:paraId="059FC92E">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r>
                          <w:rPr>
                            <w:rFonts w:hint="eastAsia" w:ascii="仿宋" w:hAnsi="仿宋" w:eastAsia="仿宋" w:cs="仿宋"/>
                            <w:sz w:val="28"/>
                            <w:szCs w:val="28"/>
                          </w:rPr>
                          <w:t>系统支持对外服务人数超10000人</w:t>
                        </w:r>
                      </w:p>
                    </w:tc>
                  </w:tr>
                </w:tbl>
                <w:p w14:paraId="579AA405">
                  <w:pPr>
                    <w:pageBreakBefore w:val="0"/>
                    <w:kinsoku/>
                    <w:wordWrap/>
                    <w:overflowPunct/>
                    <w:topLinePunct w:val="0"/>
                    <w:autoSpaceDE/>
                    <w:autoSpaceDN/>
                    <w:bidi w:val="0"/>
                    <w:adjustRightInd w:val="0"/>
                    <w:snapToGrid w:val="0"/>
                    <w:spacing w:line="360" w:lineRule="auto"/>
                    <w:rPr>
                      <w:rFonts w:hint="eastAsia" w:ascii="仿宋" w:hAnsi="仿宋" w:eastAsia="仿宋" w:cs="仿宋"/>
                      <w:sz w:val="28"/>
                      <w:szCs w:val="28"/>
                    </w:rPr>
                  </w:pPr>
                </w:p>
              </w:tc>
            </w:tr>
          </w:tbl>
          <w:p w14:paraId="6DA4B101">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30"/>
              </w:rPr>
            </w:pPr>
          </w:p>
        </w:tc>
      </w:tr>
      <w:tr w14:paraId="1714517F">
        <w:tblPrEx>
          <w:tblCellMar>
            <w:top w:w="0" w:type="dxa"/>
            <w:left w:w="108" w:type="dxa"/>
            <w:bottom w:w="0" w:type="dxa"/>
            <w:right w:w="108" w:type="dxa"/>
          </w:tblCellMar>
        </w:tblPrEx>
        <w:trPr>
          <w:trHeight w:val="883" w:hRule="atLeast"/>
        </w:trPr>
        <w:tc>
          <w:tcPr>
            <w:tcW w:w="1147" w:type="pct"/>
            <w:gridSpan w:val="2"/>
            <w:tcBorders>
              <w:top w:val="single" w:color="auto" w:sz="6" w:space="0"/>
              <w:left w:val="single" w:color="auto" w:sz="6" w:space="0"/>
              <w:bottom w:val="single" w:color="auto" w:sz="6" w:space="0"/>
              <w:right w:val="single" w:color="auto" w:sz="6" w:space="0"/>
            </w:tcBorders>
            <w:vAlign w:val="center"/>
          </w:tcPr>
          <w:p w14:paraId="2922962F">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zCs w:val="21"/>
              </w:rPr>
              <w:t>财政可持续性</w:t>
            </w:r>
          </w:p>
        </w:tc>
        <w:tc>
          <w:tcPr>
            <w:tcW w:w="3852" w:type="pct"/>
            <w:gridSpan w:val="9"/>
            <w:tcBorders>
              <w:top w:val="single" w:color="auto" w:sz="6" w:space="0"/>
              <w:left w:val="single" w:color="auto" w:sz="6" w:space="0"/>
              <w:bottom w:val="single" w:color="auto" w:sz="6" w:space="0"/>
              <w:right w:val="single" w:color="auto" w:sz="6" w:space="0"/>
            </w:tcBorders>
            <w:vAlign w:val="center"/>
          </w:tcPr>
          <w:p w14:paraId="4816A36B">
            <w:pPr>
              <w:pageBreakBefore w:val="0"/>
              <w:kinsoku/>
              <w:wordWrap/>
              <w:overflowPunct/>
              <w:topLinePunct w:val="0"/>
              <w:autoSpaceDE/>
              <w:autoSpaceDN/>
              <w:bidi w:val="0"/>
              <w:adjustRightInd w:val="0"/>
              <w:snapToGrid w:val="0"/>
              <w:spacing w:line="360" w:lineRule="auto"/>
              <w:ind w:firstLine="588" w:firstLineChars="200"/>
              <w:rPr>
                <w:rFonts w:hint="eastAsia" w:ascii="宋体" w:hAnsi="宋体" w:cs="黑体"/>
                <w:color w:val="FF0000"/>
                <w:sz w:val="32"/>
                <w:szCs w:val="21"/>
              </w:rPr>
            </w:pPr>
            <w:r>
              <w:rPr>
                <w:rFonts w:hint="eastAsia" w:ascii="仿宋" w:hAnsi="仿宋" w:eastAsia="仿宋" w:cs="仿宋"/>
                <w:color w:val="000000" w:themeColor="text1"/>
                <w:sz w:val="32"/>
                <w:szCs w:val="21"/>
                <w14:textFill>
                  <w14:solidFill>
                    <w14:schemeClr w14:val="tx1"/>
                  </w14:solidFill>
                </w14:textFill>
              </w:rPr>
              <w:t>结合预算资金安排，供应链大数据分析项目的建设为一次性采购，作为学校资产，可以终身使用，并且还可以运用到具备相关课程的其他专业、其他学院，可使本次财政资金运用效益最大化，可持续性。</w:t>
            </w:r>
          </w:p>
        </w:tc>
      </w:tr>
      <w:tr w14:paraId="6EFE84D1">
        <w:tblPrEx>
          <w:tblCellMar>
            <w:top w:w="0" w:type="dxa"/>
            <w:left w:w="108" w:type="dxa"/>
            <w:bottom w:w="0" w:type="dxa"/>
            <w:right w:w="108" w:type="dxa"/>
          </w:tblCellMar>
        </w:tblPrEx>
        <w:trPr>
          <w:trHeight w:val="605" w:hRule="atLeast"/>
        </w:trPr>
        <w:tc>
          <w:tcPr>
            <w:tcW w:w="5000" w:type="pct"/>
            <w:gridSpan w:val="11"/>
            <w:tcBorders>
              <w:top w:val="single" w:color="auto" w:sz="6" w:space="0"/>
              <w:left w:val="single" w:color="auto" w:sz="6" w:space="0"/>
              <w:bottom w:val="single" w:color="auto" w:sz="6" w:space="0"/>
              <w:right w:val="single" w:color="auto" w:sz="6" w:space="0"/>
            </w:tcBorders>
            <w:vAlign w:val="center"/>
          </w:tcPr>
          <w:p w14:paraId="7BC08112">
            <w:pPr>
              <w:pageBreakBefore w:val="0"/>
              <w:kinsoku/>
              <w:wordWrap/>
              <w:overflowPunct/>
              <w:topLinePunct w:val="0"/>
              <w:autoSpaceDE/>
              <w:autoSpaceDN/>
              <w:bidi w:val="0"/>
              <w:adjustRightInd w:val="0"/>
              <w:snapToGrid w:val="0"/>
              <w:spacing w:line="360" w:lineRule="auto"/>
              <w:rPr>
                <w:rFonts w:hint="eastAsia" w:ascii="黑体" w:hAnsi="黑体" w:eastAsia="黑体" w:cs="黑体"/>
                <w:szCs w:val="21"/>
              </w:rPr>
            </w:pPr>
            <w:r>
              <w:rPr>
                <w:rFonts w:hint="eastAsia" w:ascii="黑体" w:hAnsi="黑体" w:eastAsia="黑体" w:cs="黑体"/>
                <w:spacing w:val="2"/>
                <w:kern w:val="0"/>
                <w:szCs w:val="21"/>
              </w:rPr>
              <w:t>四、评估总体结论</w:t>
            </w:r>
          </w:p>
        </w:tc>
      </w:tr>
      <w:tr w14:paraId="09ED939D">
        <w:tblPrEx>
          <w:tblCellMar>
            <w:top w:w="0" w:type="dxa"/>
            <w:left w:w="108" w:type="dxa"/>
            <w:bottom w:w="0" w:type="dxa"/>
            <w:right w:w="108" w:type="dxa"/>
          </w:tblCellMar>
        </w:tblPrEx>
        <w:trPr>
          <w:trHeight w:val="1470" w:hRule="atLeast"/>
        </w:trPr>
        <w:tc>
          <w:tcPr>
            <w:tcW w:w="887" w:type="pct"/>
            <w:tcBorders>
              <w:top w:val="single" w:color="auto" w:sz="6" w:space="0"/>
              <w:left w:val="single" w:color="auto" w:sz="6" w:space="0"/>
              <w:bottom w:val="single" w:color="auto" w:sz="6" w:space="0"/>
              <w:right w:val="single" w:color="auto" w:sz="6" w:space="0"/>
            </w:tcBorders>
            <w:vAlign w:val="center"/>
          </w:tcPr>
          <w:p w14:paraId="111D78FA">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评估结论</w:t>
            </w:r>
          </w:p>
        </w:tc>
        <w:tc>
          <w:tcPr>
            <w:tcW w:w="4112" w:type="pct"/>
            <w:gridSpan w:val="10"/>
            <w:tcBorders>
              <w:top w:val="single" w:color="auto" w:sz="6" w:space="0"/>
              <w:left w:val="single" w:color="auto" w:sz="6" w:space="0"/>
              <w:bottom w:val="single" w:color="auto" w:sz="6" w:space="0"/>
              <w:right w:val="single" w:color="auto" w:sz="6" w:space="0"/>
            </w:tcBorders>
          </w:tcPr>
          <w:p w14:paraId="712DBE1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pacing w:val="2"/>
                <w:kern w:val="0"/>
                <w:szCs w:val="21"/>
              </w:rPr>
            </w:pPr>
            <w:r>
              <w:rPr>
                <w:rFonts w:hint="eastAsia" w:ascii="仿宋" w:hAnsi="仿宋" w:eastAsia="仿宋" w:cs="仿宋"/>
                <w:spacing w:val="2"/>
                <w:kern w:val="0"/>
                <w:szCs w:val="21"/>
              </w:rPr>
              <w:t>评估得分：            （加总平均分）</w:t>
            </w:r>
          </w:p>
          <w:p w14:paraId="3687B0E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r>
              <w:rPr>
                <w:rFonts w:hint="eastAsia" w:ascii="仿宋" w:hAnsi="仿宋" w:eastAsia="仿宋" w:cs="仿宋"/>
                <w:szCs w:val="21"/>
              </w:rPr>
              <w:t>建议实施</w:t>
            </w:r>
            <w:r>
              <w:rPr>
                <w:rFonts w:hint="eastAsia" w:ascii="仿宋" w:hAnsi="仿宋" w:eastAsia="仿宋" w:cs="仿宋"/>
                <w:spacing w:val="2"/>
                <w:kern w:val="0"/>
                <w:szCs w:val="21"/>
              </w:rPr>
              <w:t xml:space="preserve">□      </w:t>
            </w:r>
            <w:r>
              <w:rPr>
                <w:rFonts w:hint="eastAsia" w:ascii="仿宋" w:hAnsi="仿宋" w:eastAsia="仿宋" w:cs="仿宋"/>
                <w:szCs w:val="21"/>
              </w:rPr>
              <w:t>建议调整优化后实施</w:t>
            </w:r>
            <w:r>
              <w:rPr>
                <w:rFonts w:hint="eastAsia" w:ascii="仿宋" w:hAnsi="仿宋" w:eastAsia="仿宋" w:cs="仿宋"/>
                <w:spacing w:val="2"/>
                <w:kern w:val="0"/>
                <w:szCs w:val="21"/>
              </w:rPr>
              <w:t xml:space="preserve">□      </w:t>
            </w:r>
            <w:r>
              <w:rPr>
                <w:rFonts w:hint="eastAsia" w:ascii="仿宋" w:hAnsi="仿宋" w:eastAsia="仿宋" w:cs="仿宋"/>
                <w:szCs w:val="21"/>
              </w:rPr>
              <w:t>建议不实施</w:t>
            </w:r>
            <w:r>
              <w:rPr>
                <w:rFonts w:hint="eastAsia" w:ascii="仿宋" w:hAnsi="仿宋" w:eastAsia="仿宋" w:cs="仿宋"/>
                <w:spacing w:val="2"/>
                <w:kern w:val="0"/>
                <w:szCs w:val="21"/>
              </w:rPr>
              <w:t>□</w:t>
            </w:r>
          </w:p>
        </w:tc>
      </w:tr>
      <w:tr w14:paraId="7430AE90">
        <w:tblPrEx>
          <w:tblCellMar>
            <w:top w:w="0" w:type="dxa"/>
            <w:left w:w="108" w:type="dxa"/>
            <w:bottom w:w="0" w:type="dxa"/>
            <w:right w:w="108" w:type="dxa"/>
          </w:tblCellMar>
        </w:tblPrEx>
        <w:trPr>
          <w:trHeight w:val="2105" w:hRule="atLeast"/>
        </w:trPr>
        <w:tc>
          <w:tcPr>
            <w:tcW w:w="887" w:type="pct"/>
            <w:tcBorders>
              <w:top w:val="single" w:color="auto" w:sz="6" w:space="0"/>
              <w:left w:val="single" w:color="auto" w:sz="6" w:space="0"/>
              <w:bottom w:val="single" w:color="auto" w:sz="6" w:space="0"/>
              <w:right w:val="single" w:color="auto" w:sz="6" w:space="0"/>
            </w:tcBorders>
            <w:vAlign w:val="center"/>
          </w:tcPr>
          <w:p w14:paraId="5FCA22DA">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评估意见  汇总</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1431BAC5">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tc>
      </w:tr>
      <w:tr w14:paraId="5331CD8C">
        <w:tblPrEx>
          <w:tblCellMar>
            <w:top w:w="0" w:type="dxa"/>
            <w:left w:w="108" w:type="dxa"/>
            <w:bottom w:w="0" w:type="dxa"/>
            <w:right w:w="108" w:type="dxa"/>
          </w:tblCellMar>
        </w:tblPrEx>
        <w:trPr>
          <w:trHeight w:val="1294" w:hRule="atLeast"/>
        </w:trPr>
        <w:tc>
          <w:tcPr>
            <w:tcW w:w="887" w:type="pct"/>
            <w:tcBorders>
              <w:top w:val="single" w:color="auto" w:sz="6" w:space="0"/>
              <w:left w:val="single" w:color="auto" w:sz="6" w:space="0"/>
              <w:bottom w:val="single" w:color="auto" w:sz="6" w:space="0"/>
              <w:right w:val="single" w:color="auto" w:sz="6" w:space="0"/>
            </w:tcBorders>
            <w:vAlign w:val="center"/>
          </w:tcPr>
          <w:p w14:paraId="5FF7699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项目调整</w:t>
            </w:r>
          </w:p>
          <w:p w14:paraId="1A218CD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优化情况</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7881A2B1">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tc>
      </w:tr>
      <w:tr w14:paraId="418C32E3">
        <w:tblPrEx>
          <w:tblCellMar>
            <w:top w:w="0" w:type="dxa"/>
            <w:left w:w="108" w:type="dxa"/>
            <w:bottom w:w="0" w:type="dxa"/>
            <w:right w:w="108" w:type="dxa"/>
          </w:tblCellMar>
        </w:tblPrEx>
        <w:trPr>
          <w:trHeight w:val="2130" w:hRule="atLeast"/>
        </w:trPr>
        <w:tc>
          <w:tcPr>
            <w:tcW w:w="887" w:type="pct"/>
            <w:tcBorders>
              <w:top w:val="single" w:color="auto" w:sz="6" w:space="0"/>
              <w:left w:val="single" w:color="auto" w:sz="6" w:space="0"/>
              <w:bottom w:val="single" w:color="auto" w:sz="6" w:space="0"/>
              <w:right w:val="single" w:color="auto" w:sz="6" w:space="0"/>
            </w:tcBorders>
            <w:vAlign w:val="center"/>
          </w:tcPr>
          <w:p w14:paraId="0A81816D">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第三方评估</w:t>
            </w: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0DF50562">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p w14:paraId="3A1AA13D">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pacing w:val="2"/>
                <w:kern w:val="0"/>
                <w:szCs w:val="21"/>
              </w:rPr>
              <w:t>评估机构名称：</w:t>
            </w:r>
          </w:p>
          <w:p w14:paraId="40239904">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r>
              <w:rPr>
                <w:rFonts w:hint="eastAsia" w:ascii="仿宋" w:hAnsi="仿宋" w:eastAsia="仿宋" w:cs="仿宋"/>
                <w:spacing w:val="2"/>
                <w:kern w:val="0"/>
                <w:szCs w:val="21"/>
              </w:rPr>
              <w:t>机构负责人(签字)：               （公章)</w:t>
            </w:r>
          </w:p>
          <w:p w14:paraId="1A6A89EA">
            <w:pPr>
              <w:pageBreakBefore w:val="0"/>
              <w:kinsoku/>
              <w:wordWrap/>
              <w:overflowPunct/>
              <w:topLinePunct w:val="0"/>
              <w:autoSpaceDE/>
              <w:autoSpaceDN/>
              <w:bidi w:val="0"/>
              <w:adjustRightInd w:val="0"/>
              <w:snapToGrid w:val="0"/>
              <w:spacing w:line="360" w:lineRule="auto"/>
              <w:rPr>
                <w:rFonts w:hint="eastAsia" w:ascii="仿宋" w:hAnsi="仿宋" w:eastAsia="仿宋" w:cs="仿宋"/>
                <w:spacing w:val="2"/>
                <w:kern w:val="0"/>
                <w:szCs w:val="21"/>
              </w:rPr>
            </w:pPr>
          </w:p>
          <w:p w14:paraId="17C08F97">
            <w:pPr>
              <w:pageBreakBefore w:val="0"/>
              <w:kinsoku/>
              <w:wordWrap/>
              <w:overflowPunct/>
              <w:topLinePunct w:val="0"/>
              <w:autoSpaceDE/>
              <w:autoSpaceDN/>
              <w:bidi w:val="0"/>
              <w:adjustRightInd w:val="0"/>
              <w:snapToGrid w:val="0"/>
              <w:spacing w:line="360" w:lineRule="auto"/>
              <w:rPr>
                <w:rFonts w:hint="eastAsia" w:ascii="仿宋" w:hAnsi="仿宋" w:eastAsia="仿宋" w:cs="仿宋"/>
                <w:szCs w:val="21"/>
              </w:rPr>
            </w:pPr>
            <w:r>
              <w:rPr>
                <w:rFonts w:hint="eastAsia" w:ascii="仿宋" w:hAnsi="仿宋" w:eastAsia="仿宋" w:cs="仿宋"/>
                <w:spacing w:val="2"/>
                <w:kern w:val="0"/>
                <w:szCs w:val="21"/>
              </w:rPr>
              <w:t xml:space="preserve">              （第三方评估此栏不为空）</w:t>
            </w:r>
          </w:p>
        </w:tc>
      </w:tr>
      <w:tr w14:paraId="789F077F">
        <w:tblPrEx>
          <w:tblCellMar>
            <w:top w:w="0" w:type="dxa"/>
            <w:left w:w="108" w:type="dxa"/>
            <w:bottom w:w="0" w:type="dxa"/>
            <w:right w:w="108" w:type="dxa"/>
          </w:tblCellMar>
        </w:tblPrEx>
        <w:trPr>
          <w:cantSplit/>
          <w:trHeight w:val="404" w:hRule="atLeast"/>
        </w:trPr>
        <w:tc>
          <w:tcPr>
            <w:tcW w:w="887" w:type="pct"/>
            <w:vMerge w:val="restart"/>
            <w:tcBorders>
              <w:top w:val="single" w:color="auto" w:sz="6" w:space="0"/>
              <w:left w:val="single" w:color="auto" w:sz="6" w:space="0"/>
              <w:bottom w:val="single" w:color="auto" w:sz="6" w:space="0"/>
              <w:right w:val="single" w:color="auto" w:sz="6" w:space="0"/>
            </w:tcBorders>
            <w:vAlign w:val="center"/>
          </w:tcPr>
          <w:p w14:paraId="1BE6D0C5">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w:t>
            </w:r>
          </w:p>
          <w:p w14:paraId="5F993A1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估</w:t>
            </w:r>
          </w:p>
          <w:p w14:paraId="0A66354C">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专</w:t>
            </w:r>
          </w:p>
          <w:p w14:paraId="2A454B3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家</w:t>
            </w:r>
          </w:p>
          <w:p w14:paraId="46EE426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情</w:t>
            </w:r>
          </w:p>
          <w:p w14:paraId="39AF5E84">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pacing w:val="2"/>
                <w:kern w:val="0"/>
                <w:szCs w:val="21"/>
              </w:rPr>
            </w:pPr>
            <w:r>
              <w:rPr>
                <w:rFonts w:hint="eastAsia" w:ascii="仿宋" w:hAnsi="仿宋" w:eastAsia="仿宋" w:cs="仿宋"/>
                <w:spacing w:val="2"/>
                <w:kern w:val="0"/>
                <w:szCs w:val="21"/>
              </w:rPr>
              <w:t>况</w:t>
            </w:r>
          </w:p>
          <w:p w14:paraId="2280E6F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kern w:val="0"/>
                <w:szCs w:val="21"/>
              </w:rPr>
            </w:pPr>
          </w:p>
        </w:tc>
        <w:tc>
          <w:tcPr>
            <w:tcW w:w="4112" w:type="pct"/>
            <w:gridSpan w:val="10"/>
            <w:tcBorders>
              <w:top w:val="single" w:color="auto" w:sz="6" w:space="0"/>
              <w:left w:val="single" w:color="auto" w:sz="6" w:space="0"/>
              <w:bottom w:val="single" w:color="auto" w:sz="6" w:space="0"/>
              <w:right w:val="single" w:color="auto" w:sz="6" w:space="0"/>
            </w:tcBorders>
            <w:vAlign w:val="center"/>
          </w:tcPr>
          <w:p w14:paraId="2F8DA1B9">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评估专家（领导）名单</w:t>
            </w:r>
          </w:p>
        </w:tc>
      </w:tr>
      <w:tr w14:paraId="19C6201B">
        <w:tblPrEx>
          <w:tblCellMar>
            <w:top w:w="0" w:type="dxa"/>
            <w:left w:w="108" w:type="dxa"/>
            <w:bottom w:w="0" w:type="dxa"/>
            <w:right w:w="108" w:type="dxa"/>
          </w:tblCellMar>
        </w:tblPrEx>
        <w:trPr>
          <w:cantSplit/>
          <w:trHeight w:val="497" w:hRule="atLeast"/>
        </w:trPr>
        <w:tc>
          <w:tcPr>
            <w:tcW w:w="887" w:type="pct"/>
            <w:vMerge w:val="continue"/>
            <w:tcBorders>
              <w:left w:val="single" w:color="auto" w:sz="6" w:space="0"/>
              <w:bottom w:val="single" w:color="auto" w:sz="6" w:space="0"/>
              <w:right w:val="single" w:color="auto" w:sz="6" w:space="0"/>
            </w:tcBorders>
          </w:tcPr>
          <w:p w14:paraId="51139348">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vAlign w:val="center"/>
          </w:tcPr>
          <w:p w14:paraId="7650C85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编号</w:t>
            </w:r>
          </w:p>
        </w:tc>
        <w:tc>
          <w:tcPr>
            <w:tcW w:w="599" w:type="pct"/>
            <w:tcBorders>
              <w:top w:val="single" w:color="auto" w:sz="6" w:space="0"/>
              <w:left w:val="single" w:color="auto" w:sz="6" w:space="0"/>
              <w:bottom w:val="single" w:color="auto" w:sz="6" w:space="0"/>
              <w:right w:val="single" w:color="auto" w:sz="6" w:space="0"/>
            </w:tcBorders>
            <w:vAlign w:val="center"/>
          </w:tcPr>
          <w:p w14:paraId="00F3644E">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姓名</w:t>
            </w:r>
          </w:p>
        </w:tc>
        <w:tc>
          <w:tcPr>
            <w:tcW w:w="1002" w:type="pct"/>
            <w:gridSpan w:val="2"/>
            <w:tcBorders>
              <w:top w:val="single" w:color="auto" w:sz="6" w:space="0"/>
              <w:left w:val="single" w:color="auto" w:sz="6" w:space="0"/>
              <w:bottom w:val="single" w:color="auto" w:sz="6" w:space="0"/>
              <w:right w:val="single" w:color="auto" w:sz="6" w:space="0"/>
            </w:tcBorders>
            <w:vAlign w:val="center"/>
          </w:tcPr>
          <w:p w14:paraId="6CEA9B32">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单  位</w:t>
            </w:r>
          </w:p>
        </w:tc>
        <w:tc>
          <w:tcPr>
            <w:tcW w:w="1433" w:type="pct"/>
            <w:gridSpan w:val="2"/>
            <w:tcBorders>
              <w:top w:val="single" w:color="auto" w:sz="6" w:space="0"/>
              <w:left w:val="single" w:color="auto" w:sz="6" w:space="0"/>
              <w:bottom w:val="single" w:color="auto" w:sz="6" w:space="0"/>
              <w:right w:val="single" w:color="auto" w:sz="4" w:space="0"/>
            </w:tcBorders>
            <w:vAlign w:val="center"/>
          </w:tcPr>
          <w:p w14:paraId="58A17EE1">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pacing w:val="2"/>
                <w:kern w:val="0"/>
                <w:szCs w:val="21"/>
              </w:rPr>
              <w:t>职称职务</w:t>
            </w:r>
          </w:p>
        </w:tc>
        <w:tc>
          <w:tcPr>
            <w:tcW w:w="628" w:type="pct"/>
            <w:tcBorders>
              <w:top w:val="single" w:color="auto" w:sz="6" w:space="0"/>
              <w:left w:val="single" w:color="auto" w:sz="4" w:space="0"/>
              <w:bottom w:val="single" w:color="auto" w:sz="6" w:space="0"/>
              <w:right w:val="single" w:color="auto" w:sz="6" w:space="0"/>
            </w:tcBorders>
            <w:vAlign w:val="center"/>
          </w:tcPr>
          <w:p w14:paraId="0EB25D40">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r>
              <w:rPr>
                <w:rFonts w:hint="eastAsia" w:ascii="仿宋" w:hAnsi="仿宋" w:eastAsia="仿宋" w:cs="仿宋"/>
                <w:szCs w:val="21"/>
              </w:rPr>
              <w:t>打分</w:t>
            </w:r>
          </w:p>
        </w:tc>
      </w:tr>
      <w:tr w14:paraId="1ABB58FB">
        <w:tblPrEx>
          <w:tblCellMar>
            <w:top w:w="0" w:type="dxa"/>
            <w:left w:w="108" w:type="dxa"/>
            <w:bottom w:w="0" w:type="dxa"/>
            <w:right w:w="108" w:type="dxa"/>
          </w:tblCellMar>
        </w:tblPrEx>
        <w:trPr>
          <w:cantSplit/>
          <w:trHeight w:val="435" w:hRule="atLeast"/>
        </w:trPr>
        <w:tc>
          <w:tcPr>
            <w:tcW w:w="887" w:type="pct"/>
            <w:vMerge w:val="continue"/>
            <w:tcBorders>
              <w:left w:val="single" w:color="auto" w:sz="6" w:space="0"/>
              <w:bottom w:val="single" w:color="auto" w:sz="6" w:space="0"/>
              <w:right w:val="single" w:color="auto" w:sz="6" w:space="0"/>
            </w:tcBorders>
          </w:tcPr>
          <w:p w14:paraId="096E8A9A">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1C4D2CE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683D663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7391E1E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10D318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18EF0A47">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p>
        </w:tc>
      </w:tr>
      <w:tr w14:paraId="260A3647">
        <w:tblPrEx>
          <w:tblCellMar>
            <w:top w:w="0" w:type="dxa"/>
            <w:left w:w="108" w:type="dxa"/>
            <w:bottom w:w="0" w:type="dxa"/>
            <w:right w:w="108" w:type="dxa"/>
          </w:tblCellMar>
        </w:tblPrEx>
        <w:trPr>
          <w:cantSplit/>
          <w:trHeight w:val="530" w:hRule="atLeast"/>
        </w:trPr>
        <w:tc>
          <w:tcPr>
            <w:tcW w:w="887" w:type="pct"/>
            <w:vMerge w:val="continue"/>
            <w:tcBorders>
              <w:left w:val="single" w:color="auto" w:sz="6" w:space="0"/>
              <w:bottom w:val="single" w:color="auto" w:sz="6" w:space="0"/>
              <w:right w:val="single" w:color="auto" w:sz="6" w:space="0"/>
            </w:tcBorders>
          </w:tcPr>
          <w:p w14:paraId="606182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2EB33F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595EAA7C">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6CAFB95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DC3521A">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4113217F">
            <w:pPr>
              <w:pageBreakBefore w:val="0"/>
              <w:kinsoku/>
              <w:wordWrap/>
              <w:overflowPunct/>
              <w:topLinePunct w:val="0"/>
              <w:autoSpaceDE/>
              <w:autoSpaceDN/>
              <w:bidi w:val="0"/>
              <w:adjustRightInd w:val="0"/>
              <w:snapToGrid w:val="0"/>
              <w:spacing w:line="360" w:lineRule="auto"/>
              <w:jc w:val="center"/>
              <w:rPr>
                <w:rFonts w:hint="eastAsia" w:ascii="仿宋" w:hAnsi="仿宋" w:eastAsia="仿宋" w:cs="仿宋"/>
                <w:szCs w:val="21"/>
              </w:rPr>
            </w:pPr>
          </w:p>
        </w:tc>
      </w:tr>
      <w:tr w14:paraId="0F7FD8AA">
        <w:tblPrEx>
          <w:tblCellMar>
            <w:top w:w="0" w:type="dxa"/>
            <w:left w:w="108" w:type="dxa"/>
            <w:bottom w:w="0" w:type="dxa"/>
            <w:right w:w="108" w:type="dxa"/>
          </w:tblCellMar>
        </w:tblPrEx>
        <w:trPr>
          <w:cantSplit/>
          <w:trHeight w:val="624" w:hRule="atLeast"/>
        </w:trPr>
        <w:tc>
          <w:tcPr>
            <w:tcW w:w="887" w:type="pct"/>
            <w:vMerge w:val="continue"/>
            <w:tcBorders>
              <w:left w:val="single" w:color="auto" w:sz="6" w:space="0"/>
              <w:bottom w:val="single" w:color="auto" w:sz="6" w:space="0"/>
              <w:right w:val="single" w:color="auto" w:sz="6" w:space="0"/>
            </w:tcBorders>
          </w:tcPr>
          <w:p w14:paraId="4AF16ECF">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6E6D834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599" w:type="pct"/>
            <w:tcBorders>
              <w:top w:val="single" w:color="auto" w:sz="6" w:space="0"/>
              <w:left w:val="single" w:color="auto" w:sz="6" w:space="0"/>
              <w:bottom w:val="single" w:color="auto" w:sz="6" w:space="0"/>
              <w:right w:val="single" w:color="auto" w:sz="6" w:space="0"/>
            </w:tcBorders>
          </w:tcPr>
          <w:p w14:paraId="526BC7B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534EC4F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437AD06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c>
          <w:tcPr>
            <w:tcW w:w="628" w:type="pct"/>
            <w:tcBorders>
              <w:top w:val="single" w:color="auto" w:sz="6" w:space="0"/>
              <w:left w:val="single" w:color="auto" w:sz="4" w:space="0"/>
              <w:bottom w:val="single" w:color="auto" w:sz="6" w:space="0"/>
              <w:right w:val="single" w:color="auto" w:sz="6" w:space="0"/>
            </w:tcBorders>
          </w:tcPr>
          <w:p w14:paraId="6ECC6DC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kern w:val="0"/>
                <w:szCs w:val="21"/>
              </w:rPr>
            </w:pPr>
          </w:p>
        </w:tc>
      </w:tr>
      <w:tr w14:paraId="7BDE728B">
        <w:tblPrEx>
          <w:tblCellMar>
            <w:top w:w="0" w:type="dxa"/>
            <w:left w:w="108" w:type="dxa"/>
            <w:bottom w:w="0" w:type="dxa"/>
            <w:right w:w="108" w:type="dxa"/>
          </w:tblCellMar>
        </w:tblPrEx>
        <w:trPr>
          <w:cantSplit/>
          <w:trHeight w:val="676" w:hRule="atLeast"/>
        </w:trPr>
        <w:tc>
          <w:tcPr>
            <w:tcW w:w="887" w:type="pct"/>
            <w:vMerge w:val="continue"/>
            <w:tcBorders>
              <w:left w:val="single" w:color="auto" w:sz="6" w:space="0"/>
              <w:bottom w:val="single" w:color="auto" w:sz="6" w:space="0"/>
              <w:right w:val="single" w:color="auto" w:sz="6" w:space="0"/>
            </w:tcBorders>
          </w:tcPr>
          <w:p w14:paraId="026C622B">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6363F04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599" w:type="pct"/>
            <w:tcBorders>
              <w:top w:val="single" w:color="auto" w:sz="6" w:space="0"/>
              <w:left w:val="single" w:color="auto" w:sz="6" w:space="0"/>
              <w:bottom w:val="single" w:color="auto" w:sz="6" w:space="0"/>
              <w:right w:val="single" w:color="auto" w:sz="6" w:space="0"/>
            </w:tcBorders>
          </w:tcPr>
          <w:p w14:paraId="4518361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1C16748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27A062B5">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628" w:type="pct"/>
            <w:tcBorders>
              <w:top w:val="single" w:color="auto" w:sz="6" w:space="0"/>
              <w:left w:val="single" w:color="auto" w:sz="4" w:space="0"/>
              <w:bottom w:val="single" w:color="auto" w:sz="6" w:space="0"/>
              <w:right w:val="single" w:color="auto" w:sz="6" w:space="0"/>
            </w:tcBorders>
          </w:tcPr>
          <w:p w14:paraId="1CC77BE0">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r>
      <w:tr w14:paraId="04139B15">
        <w:tblPrEx>
          <w:tblCellMar>
            <w:top w:w="0" w:type="dxa"/>
            <w:left w:w="108" w:type="dxa"/>
            <w:bottom w:w="0" w:type="dxa"/>
            <w:right w:w="108" w:type="dxa"/>
          </w:tblCellMar>
        </w:tblPrEx>
        <w:trPr>
          <w:cantSplit/>
          <w:trHeight w:val="557" w:hRule="atLeast"/>
        </w:trPr>
        <w:tc>
          <w:tcPr>
            <w:tcW w:w="887" w:type="pct"/>
            <w:vMerge w:val="continue"/>
            <w:tcBorders>
              <w:left w:val="single" w:color="auto" w:sz="6" w:space="0"/>
              <w:bottom w:val="single" w:color="auto" w:sz="6" w:space="0"/>
              <w:right w:val="single" w:color="auto" w:sz="6" w:space="0"/>
            </w:tcBorders>
          </w:tcPr>
          <w:p w14:paraId="3BACB934">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448" w:type="pct"/>
            <w:gridSpan w:val="4"/>
            <w:tcBorders>
              <w:top w:val="single" w:color="auto" w:sz="6" w:space="0"/>
              <w:left w:val="single" w:color="auto" w:sz="6" w:space="0"/>
              <w:bottom w:val="single" w:color="auto" w:sz="6" w:space="0"/>
              <w:right w:val="single" w:color="auto" w:sz="6" w:space="0"/>
            </w:tcBorders>
          </w:tcPr>
          <w:p w14:paraId="3BA1F537">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599" w:type="pct"/>
            <w:tcBorders>
              <w:top w:val="single" w:color="auto" w:sz="6" w:space="0"/>
              <w:left w:val="single" w:color="auto" w:sz="6" w:space="0"/>
              <w:bottom w:val="single" w:color="auto" w:sz="6" w:space="0"/>
              <w:right w:val="single" w:color="auto" w:sz="6" w:space="0"/>
            </w:tcBorders>
          </w:tcPr>
          <w:p w14:paraId="3FB4CAD1">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002" w:type="pct"/>
            <w:gridSpan w:val="2"/>
            <w:tcBorders>
              <w:top w:val="single" w:color="auto" w:sz="6" w:space="0"/>
              <w:left w:val="single" w:color="auto" w:sz="6" w:space="0"/>
              <w:bottom w:val="single" w:color="auto" w:sz="6" w:space="0"/>
              <w:right w:val="single" w:color="auto" w:sz="6" w:space="0"/>
            </w:tcBorders>
          </w:tcPr>
          <w:p w14:paraId="7F72040D">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1433" w:type="pct"/>
            <w:gridSpan w:val="2"/>
            <w:tcBorders>
              <w:top w:val="single" w:color="auto" w:sz="6" w:space="0"/>
              <w:left w:val="single" w:color="auto" w:sz="6" w:space="0"/>
              <w:bottom w:val="single" w:color="auto" w:sz="6" w:space="0"/>
              <w:right w:val="single" w:color="auto" w:sz="4" w:space="0"/>
            </w:tcBorders>
          </w:tcPr>
          <w:p w14:paraId="406D1E0C">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c>
          <w:tcPr>
            <w:tcW w:w="628" w:type="pct"/>
            <w:tcBorders>
              <w:top w:val="single" w:color="auto" w:sz="6" w:space="0"/>
              <w:left w:val="single" w:color="auto" w:sz="4" w:space="0"/>
              <w:bottom w:val="single" w:color="auto" w:sz="6" w:space="0"/>
              <w:right w:val="single" w:color="auto" w:sz="6" w:space="0"/>
            </w:tcBorders>
          </w:tcPr>
          <w:p w14:paraId="7E867D13">
            <w:pPr>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Cs w:val="21"/>
              </w:rPr>
            </w:pPr>
          </w:p>
        </w:tc>
      </w:tr>
    </w:tbl>
    <w:p w14:paraId="612CC22D">
      <w:pPr>
        <w:pageBreakBefore w:val="0"/>
        <w:kinsoku/>
        <w:wordWrap/>
        <w:overflowPunct/>
        <w:topLinePunct w:val="0"/>
        <w:autoSpaceDE/>
        <w:autoSpaceDN/>
        <w:bidi w:val="0"/>
        <w:adjustRightInd w:val="0"/>
        <w:snapToGrid w:val="0"/>
        <w:spacing w:line="360" w:lineRule="auto"/>
        <w:ind w:firstLine="548" w:firstLineChars="200"/>
        <w:outlineLvl w:val="0"/>
      </w:pPr>
    </w:p>
    <w:p w14:paraId="07A90495">
      <w:pPr>
        <w:pageBreakBefore w:val="0"/>
        <w:kinsoku/>
        <w:wordWrap/>
        <w:overflowPunct/>
        <w:topLinePunct w:val="0"/>
        <w:autoSpaceDE/>
        <w:autoSpaceDN/>
        <w:bidi w:val="0"/>
        <w:adjustRightInd w:val="0"/>
        <w:snapToGrid w:val="0"/>
        <w:spacing w:line="360" w:lineRule="auto"/>
        <w:ind w:firstLine="548" w:firstLineChars="200"/>
        <w:outlineLvl w:val="0"/>
      </w:pPr>
    </w:p>
    <w:bookmarkEnd w:id="4"/>
    <w:sectPr>
      <w:headerReference r:id="rId6" w:type="default"/>
      <w:pgSz w:w="11906" w:h="16838"/>
      <w:pgMar w:top="1440" w:right="1588" w:bottom="1440" w:left="1588" w:header="851" w:footer="992" w:gutter="0"/>
      <w:cols w:space="425" w:num="1"/>
      <w:docGrid w:type="linesAndChars" w:linePitch="606" w:charSpace="-53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CEBD9">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w:t>
    </w:r>
    <w:r>
      <w:rPr>
        <w:rStyle w:val="11"/>
      </w:rPr>
      <w:fldChar w:fldCharType="end"/>
    </w:r>
  </w:p>
  <w:p w14:paraId="31C3666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9D2F6">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11C0E4F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20DBA">
    <w:pPr>
      <w:pStyle w:val="6"/>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F3067">
    <w:pPr>
      <w:pStyle w:val="6"/>
    </w:pPr>
    <w:bookmarkStart w:id="3" w:name="_Hlk178243777"/>
    <w:r>
      <w:rPr>
        <w:rFonts w:hint="eastAsia" w:eastAsia="微软雅黑"/>
      </w:rPr>
      <w:drawing>
        <wp:inline distT="0" distB="0" distL="0" distR="0">
          <wp:extent cx="1325880" cy="237490"/>
          <wp:effectExtent l="0" t="0" r="7620" b="0"/>
          <wp:docPr id="1705254357"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54357"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3"/>
    <w:r>
      <w:t> </w:t>
    </w:r>
    <w:r>
      <w:rPr>
        <w:rFonts w:hint="eastAsia"/>
      </w:rPr>
      <w:t xml:space="preserve">    </w:t>
    </w:r>
    <w:r>
      <w:t> www.jiecl.com  微信公众号：云班课Online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68AAC"/>
    <w:multiLevelType w:val="singleLevel"/>
    <w:tmpl w:val="88E68AAC"/>
    <w:lvl w:ilvl="0" w:tentative="0">
      <w:start w:val="2"/>
      <w:numFmt w:val="decimal"/>
      <w:suff w:val="nothing"/>
      <w:lvlText w:val="%1、"/>
      <w:lvlJc w:val="left"/>
    </w:lvl>
  </w:abstractNum>
  <w:abstractNum w:abstractNumId="1">
    <w:nsid w:val="25E3EB91"/>
    <w:multiLevelType w:val="singleLevel"/>
    <w:tmpl w:val="25E3EB91"/>
    <w:lvl w:ilvl="0" w:tentative="0">
      <w:start w:val="1"/>
      <w:numFmt w:val="bullet"/>
      <w:lvlText w:val=""/>
      <w:lvlJc w:val="left"/>
      <w:pPr>
        <w:ind w:left="420" w:hanging="420"/>
      </w:pPr>
      <w:rPr>
        <w:rFonts w:hint="default" w:ascii="Wingdings" w:hAnsi="Wingdings"/>
      </w:rPr>
    </w:lvl>
  </w:abstractNum>
  <w:abstractNum w:abstractNumId="2">
    <w:nsid w:val="3997C2D2"/>
    <w:multiLevelType w:val="singleLevel"/>
    <w:tmpl w:val="3997C2D2"/>
    <w:lvl w:ilvl="0" w:tentative="0">
      <w:start w:val="1"/>
      <w:numFmt w:val="decimalEnclosedCircleChinese"/>
      <w:suff w:val="nothing"/>
      <w:lvlText w:val="%1　"/>
      <w:lvlJc w:val="left"/>
      <w:pPr>
        <w:ind w:left="0" w:firstLine="400"/>
      </w:pPr>
      <w:rPr>
        <w:rFonts w:hint="eastAsia"/>
      </w:rPr>
    </w:lvl>
  </w:abstractNum>
  <w:abstractNum w:abstractNumId="3">
    <w:nsid w:val="5DAEC309"/>
    <w:multiLevelType w:val="singleLevel"/>
    <w:tmpl w:val="5DAEC309"/>
    <w:lvl w:ilvl="0" w:tentative="0">
      <w:start w:val="1"/>
      <w:numFmt w:val="decimal"/>
      <w:lvlText w:val="(%1)"/>
      <w:lvlJc w:val="left"/>
      <w:pPr>
        <w:ind w:left="425" w:hanging="425"/>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50"/>
  <w:drawingGridVerticalSpacing w:val="58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2A58A5"/>
    <w:rsid w:val="00055F25"/>
    <w:rsid w:val="000A14F6"/>
    <w:rsid w:val="000A6016"/>
    <w:rsid w:val="000B0D3A"/>
    <w:rsid w:val="000D2AB7"/>
    <w:rsid w:val="00131ABF"/>
    <w:rsid w:val="001567D1"/>
    <w:rsid w:val="00177179"/>
    <w:rsid w:val="001C54CE"/>
    <w:rsid w:val="001F27BB"/>
    <w:rsid w:val="001F5B3A"/>
    <w:rsid w:val="00233AFB"/>
    <w:rsid w:val="0024763E"/>
    <w:rsid w:val="002601CC"/>
    <w:rsid w:val="00267F6E"/>
    <w:rsid w:val="0027099C"/>
    <w:rsid w:val="0027484D"/>
    <w:rsid w:val="0027781C"/>
    <w:rsid w:val="002A127C"/>
    <w:rsid w:val="002A58A5"/>
    <w:rsid w:val="002B03D7"/>
    <w:rsid w:val="002D6F1D"/>
    <w:rsid w:val="002E7A07"/>
    <w:rsid w:val="00300B73"/>
    <w:rsid w:val="00303E2F"/>
    <w:rsid w:val="003229D3"/>
    <w:rsid w:val="003252DE"/>
    <w:rsid w:val="00334CCF"/>
    <w:rsid w:val="00346003"/>
    <w:rsid w:val="00357A1F"/>
    <w:rsid w:val="0036317E"/>
    <w:rsid w:val="0037127C"/>
    <w:rsid w:val="00390476"/>
    <w:rsid w:val="003907CD"/>
    <w:rsid w:val="00390A39"/>
    <w:rsid w:val="003E1C28"/>
    <w:rsid w:val="003E43A0"/>
    <w:rsid w:val="003E6023"/>
    <w:rsid w:val="003F4591"/>
    <w:rsid w:val="00431490"/>
    <w:rsid w:val="00433528"/>
    <w:rsid w:val="004462D2"/>
    <w:rsid w:val="00495624"/>
    <w:rsid w:val="004A0A9C"/>
    <w:rsid w:val="004A5E64"/>
    <w:rsid w:val="004B166D"/>
    <w:rsid w:val="004C026E"/>
    <w:rsid w:val="004D4C4B"/>
    <w:rsid w:val="004D7982"/>
    <w:rsid w:val="004E4896"/>
    <w:rsid w:val="004F3B5E"/>
    <w:rsid w:val="00500AD2"/>
    <w:rsid w:val="00505E8F"/>
    <w:rsid w:val="005061BB"/>
    <w:rsid w:val="00522FCA"/>
    <w:rsid w:val="00534260"/>
    <w:rsid w:val="00541BF8"/>
    <w:rsid w:val="005431DB"/>
    <w:rsid w:val="00552455"/>
    <w:rsid w:val="00590912"/>
    <w:rsid w:val="005920DF"/>
    <w:rsid w:val="005E64BA"/>
    <w:rsid w:val="005F557A"/>
    <w:rsid w:val="005F5BB4"/>
    <w:rsid w:val="00656FE7"/>
    <w:rsid w:val="0067448C"/>
    <w:rsid w:val="0068238D"/>
    <w:rsid w:val="0069170A"/>
    <w:rsid w:val="00692993"/>
    <w:rsid w:val="0069557F"/>
    <w:rsid w:val="006B1B4D"/>
    <w:rsid w:val="006B2B96"/>
    <w:rsid w:val="006F6647"/>
    <w:rsid w:val="007119FC"/>
    <w:rsid w:val="007E1790"/>
    <w:rsid w:val="007E6722"/>
    <w:rsid w:val="007F24F2"/>
    <w:rsid w:val="00806F6A"/>
    <w:rsid w:val="008248D3"/>
    <w:rsid w:val="0083089D"/>
    <w:rsid w:val="00831660"/>
    <w:rsid w:val="00836DD9"/>
    <w:rsid w:val="00863885"/>
    <w:rsid w:val="00877857"/>
    <w:rsid w:val="008C4FBE"/>
    <w:rsid w:val="008C5B0B"/>
    <w:rsid w:val="008C5C6A"/>
    <w:rsid w:val="008D3715"/>
    <w:rsid w:val="008D584B"/>
    <w:rsid w:val="008E722F"/>
    <w:rsid w:val="008F4A99"/>
    <w:rsid w:val="008F7F29"/>
    <w:rsid w:val="009013A5"/>
    <w:rsid w:val="00907C8B"/>
    <w:rsid w:val="00927699"/>
    <w:rsid w:val="009435C5"/>
    <w:rsid w:val="00945BEE"/>
    <w:rsid w:val="00963E0C"/>
    <w:rsid w:val="009A39DB"/>
    <w:rsid w:val="009D6376"/>
    <w:rsid w:val="009D6C28"/>
    <w:rsid w:val="009F5B47"/>
    <w:rsid w:val="00A462A3"/>
    <w:rsid w:val="00A53957"/>
    <w:rsid w:val="00A94D68"/>
    <w:rsid w:val="00AB02F5"/>
    <w:rsid w:val="00AB05E4"/>
    <w:rsid w:val="00B7288D"/>
    <w:rsid w:val="00B95628"/>
    <w:rsid w:val="00BA083D"/>
    <w:rsid w:val="00BA781C"/>
    <w:rsid w:val="00BC20C8"/>
    <w:rsid w:val="00BC3D8A"/>
    <w:rsid w:val="00BD3662"/>
    <w:rsid w:val="00BD4777"/>
    <w:rsid w:val="00BE4388"/>
    <w:rsid w:val="00C148E9"/>
    <w:rsid w:val="00C76ECA"/>
    <w:rsid w:val="00C83BA9"/>
    <w:rsid w:val="00CC7027"/>
    <w:rsid w:val="00CD2B81"/>
    <w:rsid w:val="00CF57FE"/>
    <w:rsid w:val="00D12E58"/>
    <w:rsid w:val="00D4267C"/>
    <w:rsid w:val="00D6659E"/>
    <w:rsid w:val="00D82D45"/>
    <w:rsid w:val="00D964DC"/>
    <w:rsid w:val="00DA3C32"/>
    <w:rsid w:val="00DD0D5C"/>
    <w:rsid w:val="00DD62E1"/>
    <w:rsid w:val="00E2656A"/>
    <w:rsid w:val="00E332B1"/>
    <w:rsid w:val="00E4560B"/>
    <w:rsid w:val="00E5138F"/>
    <w:rsid w:val="00E57C4B"/>
    <w:rsid w:val="00E7137B"/>
    <w:rsid w:val="00E7683E"/>
    <w:rsid w:val="00E84303"/>
    <w:rsid w:val="00E96131"/>
    <w:rsid w:val="00EA20E0"/>
    <w:rsid w:val="00EA4EAB"/>
    <w:rsid w:val="00EB1647"/>
    <w:rsid w:val="00EB23DE"/>
    <w:rsid w:val="00EE5B6C"/>
    <w:rsid w:val="00F12B0A"/>
    <w:rsid w:val="00F166F7"/>
    <w:rsid w:val="00F2310B"/>
    <w:rsid w:val="00F902DB"/>
    <w:rsid w:val="00FC0143"/>
    <w:rsid w:val="00FD6DC4"/>
    <w:rsid w:val="01A05C30"/>
    <w:rsid w:val="01A47C80"/>
    <w:rsid w:val="02347B5F"/>
    <w:rsid w:val="08452ED4"/>
    <w:rsid w:val="089405C5"/>
    <w:rsid w:val="0BDE67BC"/>
    <w:rsid w:val="0C643AE2"/>
    <w:rsid w:val="0DC367E3"/>
    <w:rsid w:val="0F7112E1"/>
    <w:rsid w:val="120E0902"/>
    <w:rsid w:val="139641FF"/>
    <w:rsid w:val="220B7E13"/>
    <w:rsid w:val="25077E20"/>
    <w:rsid w:val="277F1AA7"/>
    <w:rsid w:val="2B06175A"/>
    <w:rsid w:val="2DFA23C6"/>
    <w:rsid w:val="310C7024"/>
    <w:rsid w:val="346C48F1"/>
    <w:rsid w:val="3A297FDD"/>
    <w:rsid w:val="3AEE274E"/>
    <w:rsid w:val="3F447CEA"/>
    <w:rsid w:val="48324CF0"/>
    <w:rsid w:val="5C8C1C38"/>
    <w:rsid w:val="60CB453C"/>
    <w:rsid w:val="6690453A"/>
    <w:rsid w:val="6B185887"/>
    <w:rsid w:val="6B9D728D"/>
    <w:rsid w:val="6CF93D07"/>
    <w:rsid w:val="701E2BBD"/>
    <w:rsid w:val="70214983"/>
    <w:rsid w:val="713E5539"/>
    <w:rsid w:val="72470036"/>
    <w:rsid w:val="72DF1162"/>
    <w:rsid w:val="76237327"/>
    <w:rsid w:val="77826707"/>
    <w:rsid w:val="79D614B5"/>
    <w:rsid w:val="7BED75DA"/>
    <w:rsid w:val="7FB35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400" w:lineRule="exact"/>
      <w:ind w:firstLine="480" w:firstLineChars="200"/>
    </w:pPr>
    <w:rPr>
      <w:rFonts w:eastAsia="宋体"/>
    </w:rPr>
  </w:style>
  <w:style w:type="paragraph" w:styleId="3">
    <w:name w:val="Body Text Indent"/>
    <w:basedOn w:val="1"/>
    <w:qFormat/>
    <w:uiPriority w:val="0"/>
    <w:pPr>
      <w:spacing w:after="120"/>
      <w:ind w:left="420" w:leftChars="200"/>
    </w:pPr>
  </w:style>
  <w:style w:type="paragraph" w:styleId="4">
    <w:name w:val="Balloon Text"/>
    <w:basedOn w:val="1"/>
    <w:link w:val="13"/>
    <w:semiHidden/>
    <w:unhideWhenUsed/>
    <w:qFormat/>
    <w:uiPriority w:val="0"/>
    <w:rPr>
      <w:sz w:val="18"/>
      <w:szCs w:val="18"/>
    </w:rPr>
  </w:style>
  <w:style w:type="paragraph" w:styleId="5">
    <w:name w:val="footer"/>
    <w:basedOn w:val="1"/>
    <w:qFormat/>
    <w:uiPriority w:val="0"/>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0"/>
    <w:pPr>
      <w:spacing w:beforeAutospacing="1"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3">
    <w:name w:val="批注框文本 字符"/>
    <w:basedOn w:val="10"/>
    <w:link w:val="4"/>
    <w:semiHidden/>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1703</Words>
  <Characters>1743</Characters>
  <Lines>56</Lines>
  <Paragraphs>15</Paragraphs>
  <TotalTime>1</TotalTime>
  <ScaleCrop>false</ScaleCrop>
  <LinksUpToDate>false</LinksUpToDate>
  <CharactersWithSpaces>1857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2019-11-15T07:01:00Z</dcterms:created>
  <dc:creator>lhn</dc:creator>
  <cp:lastModifiedBy>肥嘟好肥</cp:lastModifiedBy>
  <cp:lastPrinted>2020-09-07T02:02:00Z</cp:lastPrinted>
  <dcterms:modified xsi:type="dcterms:W3CDTF">2025-02-15T07:37:13Z</dcterms:modified>
  <dc:title>附件3：</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6F1713AEE8004525A99680E1BCB261EB</vt:lpwstr>
  </property>
  <property fmtid="{D5CDD505-2E9C-101B-9397-08002B2CF9AE}" pid="4" name="KSOTemplateDocerSaveRecord">
    <vt:lpwstr>eyJoZGlkIjoiZDYxMGJhNDRmYWI3YTAxNjQyMTZhOWFkOTIxMDI4NTMiLCJ1c2VySWQiOiIzNzkzNTEwMTcifQ==</vt:lpwstr>
  </property>
</Properties>
</file>