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7D965">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jc w:val="center"/>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AI经济建模教学平台</w:t>
      </w:r>
    </w:p>
    <w:p w14:paraId="0020E94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AI经济建模教学平台基于AI、Python、stata技术，根据通过顶刊论文案例复现操作，融合AI和机器学习展示数据，AI经济建模实验可实现读取数据、数据预处理、各类检验、数据可视化、特征工程、文本分析、调试工具、stata计量建模分析等科研分析任务，内容包括顶刊论文结构拆解、AI选题、研究主题论证、提出假说、实证分析、结果解读、研究背景理论分析假设论证、润色与AI审稿等实验。</w:t>
      </w:r>
      <w:bookmarkStart w:id="0" w:name="_Hlk117687846"/>
      <w:r>
        <w:rPr>
          <w:rFonts w:hint="eastAsia" w:ascii="宋体" w:hAnsi="宋体" w:eastAsia="宋体" w:cs="宋体"/>
          <w:sz w:val="24"/>
        </w:rPr>
        <w:t>排名第一的供应商在合同签订前还需现场或远程演示并获得最终使用此软件的老师签字认可，否则依次顺位下一排名的供应商作为中标方。</w:t>
      </w:r>
      <w:bookmarkEnd w:id="0"/>
    </w:p>
    <w:p w14:paraId="617624B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一、AI经济建模教学平台</w:t>
      </w:r>
      <w:r>
        <w:rPr>
          <w:rFonts w:hint="eastAsia" w:ascii="宋体" w:hAnsi="宋体" w:eastAsia="宋体" w:cs="宋体"/>
          <w:b/>
          <w:bCs/>
          <w:sz w:val="24"/>
          <w:lang w:val="en-US" w:eastAsia="zh-CN"/>
        </w:rPr>
        <w:t>框架</w:t>
      </w:r>
      <w:r>
        <w:rPr>
          <w:rFonts w:hint="eastAsia" w:ascii="宋体" w:hAnsi="宋体" w:eastAsia="宋体" w:cs="宋体"/>
          <w:b/>
          <w:bCs/>
          <w:sz w:val="24"/>
        </w:rPr>
        <w:t>（加★号项需现场或远程演示，否则不作为中标候选人）</w:t>
      </w:r>
    </w:p>
    <w:p w14:paraId="14F1679A">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通过AI教学实训平台界面查看和管理教学资源，并进行计量建模分析，涵盖读取数据、数据预处理、各类检验、数据可视化、特征工程、文本分析、传统计量建模分析、空间计量建模分析、Python工具等组件，低代码，拖拉拽组件配置参数即可实现数据分析与计量建模功能，并可展示调用的stata和Python代码，可在流程图式呈现整个计量建模过程。这些实验为本平台的核心功能。</w:t>
      </w:r>
    </w:p>
    <w:p w14:paraId="7D5D46DB">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读取数据模块，可通过拖拽功能组件读取 txt 、csv 、 Excel等格式的文件。</w:t>
      </w:r>
    </w:p>
    <w:p w14:paraId="4940AF9F">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了解数据模块，可通过拖拽功能组件查看前N行、后台调用stata代码和Python代码进行描述性统计。</w:t>
      </w:r>
    </w:p>
    <w:p w14:paraId="16402DE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数据预处理模块，可通过拖拽功能组件转换、设置、过滤、生成等数据预处理，如长表转成宽表、日期格式转换、缩尾或截尾、数字字符转数值、设置列数据类型、索引控制、排序、更改行名/列名、设置面板数据、设置时间序列数据、采样、行过滤、删除重复值/缺失值、缺失值填充、数据拆分、分离特征等数据预处理常见操作。</w:t>
      </w:r>
    </w:p>
    <w:p w14:paraId="78A3A40D">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各类检验模块覆盖卡方检验，T检验-双样本、T检验-单样本、偏态分布检验、hausman检验、倾向得分匹配、处理效应估计、平衡性检验、多重共线性检验、似无相关估计等功能组件，可以通过拖拽功能组件实现各类检验。</w:t>
      </w:r>
    </w:p>
    <w:p w14:paraId="0DA3C96B">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★可通过配置组件实现箱线图、热力图、直方图、散点图、时序图、饼图、柱状图、折线图等数据可视化呈现。</w:t>
      </w:r>
    </w:p>
    <w:p w14:paraId="60FC288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★通过拖拉拽实现行列转置、离散化、特征变换、正则化、中心化、标准化、数据透视表、归一化、主成分分析/PCA、序列编码、独立编码等特征工程功能。</w:t>
      </w:r>
    </w:p>
    <w:p w14:paraId="44C7FDA7">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通过拖拉拽组件模块可实现词频统计、词性筛选、词云、文本预处理、去停用词、TF-IDF、文本数据分类、词共现矩阵、词共现网络图、情感倾向词统计及分析、LDA主题困惑度曲线图及LDA主题分析等文本分析方法。</w:t>
      </w:r>
    </w:p>
    <w:p w14:paraId="0E0F17E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可后台调用stata代码，通过拖拉拽功能组件实现变量预设、相关性分析、线性回归、面板数据回归、高维固定效应回归、双重差分(DID)、二阶段回归(2SLS)、面板数据二阶段回归(2SLS）、动态面板数据的GMM估计、高维固定效应</w:t>
      </w:r>
      <w:bookmarkStart w:id="3" w:name="_GoBack"/>
      <w:r>
        <w:rPr>
          <w:rFonts w:hint="eastAsia" w:ascii="宋体" w:hAnsi="宋体" w:eastAsia="宋体" w:cs="宋体"/>
          <w:sz w:val="24"/>
          <w:lang w:val="en-US" w:eastAsia="zh-CN"/>
        </w:rPr>
        <w:t>IV</w:t>
      </w:r>
      <w:bookmarkEnd w:id="3"/>
      <w:r>
        <w:rPr>
          <w:rFonts w:hint="eastAsia" w:ascii="宋体" w:hAnsi="宋体" w:eastAsia="宋体" w:cs="宋体"/>
          <w:sz w:val="24"/>
          <w:lang w:val="en-US" w:eastAsia="zh-CN"/>
        </w:rPr>
        <w:t>估计、面板数据二元选择模型、分位数回归、逻辑回归、正态分布模型、截面门槛效应回归、面板门槛效应回归等传统计量建模分析，也支持自编stata代码。</w:t>
      </w:r>
    </w:p>
    <w:p w14:paraId="01FAF30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★覆盖创建空间权重矩阵、空间面板数据回归等空间计量建模分析（stata）。</w:t>
      </w:r>
    </w:p>
    <w:p w14:paraId="234FC698">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支持自编Python代码，并嵌套进入功能组件，进行数据处理。</w:t>
      </w:r>
    </w:p>
    <w:p w14:paraId="5DF3712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lang w:val="en-US" w:eastAsia="zh-CN"/>
        </w:rPr>
        <w:t>二</w:t>
      </w:r>
      <w:r>
        <w:rPr>
          <w:rFonts w:hint="eastAsia" w:ascii="宋体" w:hAnsi="宋体" w:eastAsia="宋体" w:cs="宋体"/>
          <w:b/>
          <w:bCs/>
          <w:sz w:val="24"/>
        </w:rPr>
        <w:t>、</w:t>
      </w:r>
      <w:r>
        <w:rPr>
          <w:rFonts w:hint="eastAsia" w:ascii="宋体" w:hAnsi="宋体" w:eastAsia="宋体" w:cs="宋体"/>
          <w:b/>
          <w:bCs/>
          <w:sz w:val="24"/>
          <w:lang w:val="en-US" w:eastAsia="zh-CN"/>
        </w:rPr>
        <w:t>实验案例功能</w:t>
      </w:r>
      <w:r>
        <w:rPr>
          <w:rFonts w:hint="eastAsia" w:ascii="宋体" w:hAnsi="宋体" w:eastAsia="宋体" w:cs="宋体"/>
          <w:b/>
          <w:bCs/>
          <w:sz w:val="24"/>
        </w:rPr>
        <w:t>（加★号项需现场或远程演示，否则不作为中标候选人）</w:t>
      </w:r>
    </w:p>
    <w:p w14:paraId="7DECA511">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_Toc18820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双重差分模型（腾笼换鸟的房价效应：以老工业区搬迁改造为例）</w:t>
      </w:r>
      <w:r>
        <w:rPr>
          <w:rFonts w:hint="eastAsia" w:ascii="宋体" w:hAnsi="宋体" w:eastAsia="宋体" w:cs="宋体"/>
          <w:b/>
          <w:bCs/>
          <w:sz w:val="24"/>
          <w:lang w:val="en-US" w:eastAsia="zh-CN"/>
        </w:rPr>
        <w:fldChar w:fldCharType="end"/>
      </w:r>
      <w:r>
        <w:rPr>
          <w:rFonts w:hint="eastAsia" w:ascii="宋体" w:hAnsi="宋体" w:eastAsia="宋体" w:cs="宋体"/>
          <w:b/>
          <w:bCs/>
          <w:sz w:val="24"/>
          <w:lang w:val="en-US" w:eastAsia="zh-CN"/>
        </w:rPr>
        <w:t>：</w:t>
      </w:r>
    </w:p>
    <w:p w14:paraId="7AEB3A9F">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以顶刊论文为操作案例复现，高效掌握双重差分模型建模技巧与论文写作技巧。</w:t>
      </w:r>
    </w:p>
    <w:p w14:paraId="586C57C2">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firstLine="36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1  双重差分模型（腾笼换鸟的房价效应：以老工业区搬迁改造为例）</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30B5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095" w:type="dxa"/>
            <w:shd w:val="clear" w:color="auto" w:fill="E6E6E6"/>
            <w:noWrap w:val="0"/>
            <w:vAlign w:val="center"/>
          </w:tcPr>
          <w:p w14:paraId="66B509B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7990A301">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724CBB7">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11B447D1">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78DAB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95" w:type="dxa"/>
            <w:vMerge w:val="restart"/>
            <w:noWrap w:val="0"/>
            <w:vAlign w:val="center"/>
          </w:tcPr>
          <w:p w14:paraId="64B52C11">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双重差分模型（腾笼换鸟的房价效应：以老工业区搬迁改造为例）</w:t>
            </w:r>
          </w:p>
        </w:tc>
        <w:tc>
          <w:tcPr>
            <w:tcW w:w="1240" w:type="dxa"/>
            <w:vMerge w:val="restart"/>
            <w:noWrap w:val="0"/>
            <w:vAlign w:val="center"/>
          </w:tcPr>
          <w:p w14:paraId="0946853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6A3C342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5E83AA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6A49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35C70E3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D9C3F8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EA5B47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0EFA94C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B7F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257FC8A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CAD1D0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4C6CB0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5B1747B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E6F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3B2B532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430FE9F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0BBD4C7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任务1：基准回归结果</w:t>
            </w:r>
          </w:p>
        </w:tc>
        <w:tc>
          <w:tcPr>
            <w:tcW w:w="1356" w:type="dxa"/>
            <w:vMerge w:val="continue"/>
            <w:noWrap w:val="0"/>
            <w:vAlign w:val="center"/>
          </w:tcPr>
          <w:p w14:paraId="0C9C6B5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2491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2D9D583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A85D37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EE87B7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任务2：房价断点效应实证结果</w:t>
            </w:r>
          </w:p>
        </w:tc>
        <w:tc>
          <w:tcPr>
            <w:tcW w:w="1356" w:type="dxa"/>
            <w:vMerge w:val="continue"/>
            <w:noWrap w:val="0"/>
            <w:vAlign w:val="center"/>
          </w:tcPr>
          <w:p w14:paraId="2CFF296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B3C5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70034F8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1AE79B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38F89B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任务3：稳健性检验结果</w:t>
            </w:r>
          </w:p>
        </w:tc>
        <w:tc>
          <w:tcPr>
            <w:tcW w:w="1356" w:type="dxa"/>
            <w:vMerge w:val="continue"/>
            <w:noWrap w:val="0"/>
            <w:vAlign w:val="center"/>
          </w:tcPr>
          <w:p w14:paraId="47B97C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BA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59DF523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C54C41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44D14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任务4：随机抽样结果</w:t>
            </w:r>
          </w:p>
        </w:tc>
        <w:tc>
          <w:tcPr>
            <w:tcW w:w="1356" w:type="dxa"/>
            <w:vMerge w:val="continue"/>
            <w:noWrap w:val="0"/>
            <w:vAlign w:val="center"/>
          </w:tcPr>
          <w:p w14:paraId="6923BFA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85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1CD9CD0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202309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44E8F7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任务5：平行趋势检验结果</w:t>
            </w:r>
          </w:p>
        </w:tc>
        <w:tc>
          <w:tcPr>
            <w:tcW w:w="1356" w:type="dxa"/>
            <w:vMerge w:val="continue"/>
            <w:noWrap w:val="0"/>
            <w:vAlign w:val="center"/>
          </w:tcPr>
          <w:p w14:paraId="4FA4D9F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A99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7307B6E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FEF8B3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A35384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任务6：空间异质性检验结果</w:t>
            </w:r>
          </w:p>
        </w:tc>
        <w:tc>
          <w:tcPr>
            <w:tcW w:w="1356" w:type="dxa"/>
            <w:vMerge w:val="continue"/>
            <w:noWrap w:val="0"/>
            <w:vAlign w:val="center"/>
          </w:tcPr>
          <w:p w14:paraId="2B8308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488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1E7EFA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A602D1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9F1F77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任务7：潜在机制回归结果</w:t>
            </w:r>
          </w:p>
        </w:tc>
        <w:tc>
          <w:tcPr>
            <w:tcW w:w="1356" w:type="dxa"/>
            <w:vMerge w:val="continue"/>
            <w:noWrap w:val="0"/>
            <w:vAlign w:val="center"/>
          </w:tcPr>
          <w:p w14:paraId="5A5ACD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70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95" w:type="dxa"/>
            <w:vMerge w:val="continue"/>
            <w:noWrap w:val="0"/>
            <w:vAlign w:val="center"/>
          </w:tcPr>
          <w:p w14:paraId="2963F3F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F6157F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8E5989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任务8：房租效应、挂牌价格变化实证结果</w:t>
            </w:r>
          </w:p>
        </w:tc>
        <w:tc>
          <w:tcPr>
            <w:tcW w:w="1356" w:type="dxa"/>
            <w:vMerge w:val="continue"/>
            <w:noWrap w:val="0"/>
            <w:vAlign w:val="center"/>
          </w:tcPr>
          <w:p w14:paraId="00D285A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6D3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095" w:type="dxa"/>
            <w:vMerge w:val="continue"/>
            <w:noWrap w:val="0"/>
            <w:vAlign w:val="center"/>
          </w:tcPr>
          <w:p w14:paraId="0386CAB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240" w:type="dxa"/>
            <w:vMerge w:val="continue"/>
            <w:noWrap w:val="0"/>
            <w:vAlign w:val="center"/>
          </w:tcPr>
          <w:p w14:paraId="0185E77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18"/>
                <w:szCs w:val="18"/>
              </w:rPr>
            </w:pPr>
          </w:p>
        </w:tc>
        <w:tc>
          <w:tcPr>
            <w:tcW w:w="5058" w:type="dxa"/>
            <w:noWrap w:val="0"/>
            <w:vAlign w:val="center"/>
          </w:tcPr>
          <w:p w14:paraId="074448B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任务9：附录</w:t>
            </w:r>
          </w:p>
        </w:tc>
        <w:tc>
          <w:tcPr>
            <w:tcW w:w="1356" w:type="dxa"/>
            <w:vMerge w:val="continue"/>
            <w:noWrap w:val="0"/>
            <w:vAlign w:val="center"/>
          </w:tcPr>
          <w:p w14:paraId="4FC5B0E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bl>
    <w:p w14:paraId="72FAB6D7">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_Toc26033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渐进双重差分模型（制度创新、营商环境与城市创业活力——来自中国自由贸易试验区的证据）</w:t>
      </w:r>
      <w:r>
        <w:rPr>
          <w:rFonts w:hint="eastAsia" w:ascii="宋体" w:hAnsi="宋体" w:eastAsia="宋体" w:cs="宋体"/>
          <w:b/>
          <w:bCs/>
          <w:sz w:val="24"/>
          <w:lang w:val="en-US" w:eastAsia="zh-CN"/>
        </w:rPr>
        <w:fldChar w:fldCharType="end"/>
      </w:r>
    </w:p>
    <w:p w14:paraId="27877FFF">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以顶刊论文为操作案例复现，高效掌握渐进双重差分模型建模技巧与论文写作技巧。</w:t>
      </w:r>
    </w:p>
    <w:p w14:paraId="197E8B1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2</w:t>
      </w:r>
      <w:r>
        <w:rPr>
          <w:rFonts w:hint="eastAsia" w:ascii="宋体" w:hAnsi="宋体" w:eastAsia="宋体" w:cs="宋体"/>
          <w:sz w:val="21"/>
          <w:szCs w:val="21"/>
          <w:lang w:bidi="ar"/>
        </w:rPr>
        <w:t xml:space="preserve"> 渐进双重差分模型（制度创新、营商环境与城市创业活力——来自中国自由贸易试验区的证据）</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4584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3B451087">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4BD975C1">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045DD5C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495ACB9F">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24F15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2D0AEF6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渐进双重差分模型（制度创新、营商环境与城市创业活力—来自中国自由贸易试验区的证据）</w:t>
            </w:r>
          </w:p>
        </w:tc>
        <w:tc>
          <w:tcPr>
            <w:tcW w:w="1240" w:type="dxa"/>
            <w:vMerge w:val="restart"/>
            <w:noWrap w:val="0"/>
            <w:vAlign w:val="center"/>
          </w:tcPr>
          <w:p w14:paraId="7C2D8AC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976110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046235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23E5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B993CF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4D30DA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6B284E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345C760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3D83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95" w:type="dxa"/>
            <w:vMerge w:val="continue"/>
            <w:noWrap w:val="0"/>
            <w:vAlign w:val="center"/>
          </w:tcPr>
          <w:p w14:paraId="0909B82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3F3093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5EEC247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6FDFA6B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7BE7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FBD5B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49A9F62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03C2A01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研究设计</w:t>
            </w:r>
          </w:p>
        </w:tc>
        <w:tc>
          <w:tcPr>
            <w:tcW w:w="1356" w:type="dxa"/>
            <w:vMerge w:val="continue"/>
            <w:noWrap w:val="0"/>
            <w:vAlign w:val="center"/>
          </w:tcPr>
          <w:p w14:paraId="6D7E69D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477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CD13C5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AAA398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666F1A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房价断点效应实证结果</w:t>
            </w:r>
          </w:p>
        </w:tc>
        <w:tc>
          <w:tcPr>
            <w:tcW w:w="1356" w:type="dxa"/>
            <w:vMerge w:val="continue"/>
            <w:noWrap w:val="0"/>
            <w:vAlign w:val="center"/>
          </w:tcPr>
          <w:p w14:paraId="41A6B43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5A1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62B79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165747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D50788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实证方法—DIDM方法适用的问题类型</w:t>
            </w:r>
          </w:p>
        </w:tc>
        <w:tc>
          <w:tcPr>
            <w:tcW w:w="1356" w:type="dxa"/>
            <w:vMerge w:val="continue"/>
            <w:noWrap w:val="0"/>
            <w:vAlign w:val="center"/>
          </w:tcPr>
          <w:p w14:paraId="799336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3EC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5BCA71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56209A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31EF51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实证方法—DIDM方法的优点</w:t>
            </w:r>
          </w:p>
        </w:tc>
        <w:tc>
          <w:tcPr>
            <w:tcW w:w="1356" w:type="dxa"/>
            <w:vMerge w:val="continue"/>
            <w:noWrap w:val="0"/>
            <w:vAlign w:val="center"/>
          </w:tcPr>
          <w:p w14:paraId="1B8CD07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50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7C6FA9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55208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B42DEB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实证方法—是否满足DIDM方法的前提假设？</w:t>
            </w:r>
          </w:p>
        </w:tc>
        <w:tc>
          <w:tcPr>
            <w:tcW w:w="1356" w:type="dxa"/>
            <w:vMerge w:val="continue"/>
            <w:noWrap w:val="0"/>
            <w:vAlign w:val="center"/>
          </w:tcPr>
          <w:p w14:paraId="6207587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30D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F02D2D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914D1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EEF0CE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实证结果分析—DIDM方法应做哪些稳健性检验</w:t>
            </w:r>
          </w:p>
        </w:tc>
        <w:tc>
          <w:tcPr>
            <w:tcW w:w="1356" w:type="dxa"/>
            <w:vMerge w:val="continue"/>
            <w:noWrap w:val="0"/>
            <w:vAlign w:val="center"/>
          </w:tcPr>
          <w:p w14:paraId="7181661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F41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EE46CF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878268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62B648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实证结果分析—调节效应回归</w:t>
            </w:r>
          </w:p>
        </w:tc>
        <w:tc>
          <w:tcPr>
            <w:tcW w:w="1356" w:type="dxa"/>
            <w:vMerge w:val="continue"/>
            <w:noWrap w:val="0"/>
            <w:vAlign w:val="center"/>
          </w:tcPr>
          <w:p w14:paraId="3909406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619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78DB7C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2FABE7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ED63C2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实证结果分析—机制分析回归</w:t>
            </w:r>
          </w:p>
        </w:tc>
        <w:tc>
          <w:tcPr>
            <w:tcW w:w="1356" w:type="dxa"/>
            <w:vMerge w:val="continue"/>
            <w:noWrap w:val="0"/>
            <w:vAlign w:val="center"/>
          </w:tcPr>
          <w:p w14:paraId="1145F5A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7EE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92E33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DFCC48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D3D433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异质性分析</w:t>
            </w:r>
          </w:p>
        </w:tc>
        <w:tc>
          <w:tcPr>
            <w:tcW w:w="1356" w:type="dxa"/>
            <w:vMerge w:val="continue"/>
            <w:noWrap w:val="0"/>
            <w:vAlign w:val="center"/>
          </w:tcPr>
          <w:p w14:paraId="44751C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5695A45C">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_Toc2513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双向固定效应模型（数字化转型如何影响劳动技能溢价——基于A股上市公司数据的经验研究）</w:t>
      </w:r>
      <w:r>
        <w:rPr>
          <w:rFonts w:hint="eastAsia" w:ascii="宋体" w:hAnsi="宋体" w:eastAsia="宋体" w:cs="宋体"/>
          <w:b/>
          <w:bCs/>
          <w:sz w:val="24"/>
          <w:lang w:val="en-US" w:eastAsia="zh-CN"/>
        </w:rPr>
        <w:fldChar w:fldCharType="end"/>
      </w:r>
    </w:p>
    <w:p w14:paraId="425943FA">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以顶刊论文为操作案例复现，高效掌握双向固定效应模型建模技巧与论文写作技巧。</w:t>
      </w:r>
    </w:p>
    <w:p w14:paraId="4855E39C">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3</w:t>
      </w:r>
      <w:r>
        <w:rPr>
          <w:rFonts w:hint="eastAsia" w:ascii="宋体" w:hAnsi="宋体" w:eastAsia="宋体" w:cs="宋体"/>
          <w:sz w:val="21"/>
          <w:szCs w:val="21"/>
          <w:lang w:bidi="ar"/>
        </w:rPr>
        <w:t xml:space="preserve"> 双向固定效应模型（数字化转型如何影响劳动技能溢价—基于A股上市公司数据的经验研究）</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52FE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533E52CC">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29180F98">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33231CC">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92C81F8">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4BE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4CEA77A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p w14:paraId="0F1C0436">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双向固定效应模型（数字化转型如何影响劳动技能溢价—基于A股上市公司数据的经验研究）</w:t>
            </w:r>
          </w:p>
        </w:tc>
        <w:tc>
          <w:tcPr>
            <w:tcW w:w="1240" w:type="dxa"/>
            <w:vMerge w:val="restart"/>
            <w:noWrap w:val="0"/>
            <w:vAlign w:val="center"/>
          </w:tcPr>
          <w:p w14:paraId="43C6F36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09FBEA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782CAB5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1356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B6AB5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AEF413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835889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6CE5375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1793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1AF29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54DA7E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7E7948F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544D2E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AB7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C28D9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4CEB62B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实施</w:t>
            </w:r>
            <w:r>
              <w:rPr>
                <w:rFonts w:hint="eastAsia" w:ascii="宋体" w:hAnsi="宋体" w:eastAsia="宋体" w:cs="宋体"/>
                <w:sz w:val="21"/>
                <w:szCs w:val="21"/>
                <w:lang w:val="en-US" w:eastAsia="zh-CN"/>
              </w:rPr>
              <w:t>步骤</w:t>
            </w:r>
          </w:p>
        </w:tc>
        <w:tc>
          <w:tcPr>
            <w:tcW w:w="5058" w:type="dxa"/>
            <w:noWrap w:val="0"/>
            <w:vAlign w:val="center"/>
          </w:tcPr>
          <w:p w14:paraId="2794010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任务1：劳动技能溢价变动趋势</w:t>
            </w:r>
          </w:p>
        </w:tc>
        <w:tc>
          <w:tcPr>
            <w:tcW w:w="1356" w:type="dxa"/>
            <w:vMerge w:val="continue"/>
            <w:noWrap w:val="0"/>
            <w:vAlign w:val="center"/>
          </w:tcPr>
          <w:p w14:paraId="18706B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31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F31D3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4B512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4A21C3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任务2：要素密集型行业技能溢价的变动趋势</w:t>
            </w:r>
          </w:p>
        </w:tc>
        <w:tc>
          <w:tcPr>
            <w:tcW w:w="1356" w:type="dxa"/>
            <w:vMerge w:val="continue"/>
            <w:noWrap w:val="0"/>
            <w:vAlign w:val="center"/>
          </w:tcPr>
          <w:p w14:paraId="51067BC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D4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8B90C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7651E2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26C327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基本回归结果</w:t>
            </w:r>
          </w:p>
        </w:tc>
        <w:tc>
          <w:tcPr>
            <w:tcW w:w="1356" w:type="dxa"/>
            <w:vMerge w:val="continue"/>
            <w:noWrap w:val="0"/>
            <w:vAlign w:val="center"/>
          </w:tcPr>
          <w:p w14:paraId="6FA33FE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157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C97C7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44664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BF439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任务4：工具变量回归结果</w:t>
            </w:r>
          </w:p>
        </w:tc>
        <w:tc>
          <w:tcPr>
            <w:tcW w:w="1356" w:type="dxa"/>
            <w:vMerge w:val="continue"/>
            <w:noWrap w:val="0"/>
            <w:vAlign w:val="center"/>
          </w:tcPr>
          <w:p w14:paraId="7822C3F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E3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72CC9A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B649DB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F96D1B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任务5：异质性分析回归结果</w:t>
            </w:r>
          </w:p>
        </w:tc>
        <w:tc>
          <w:tcPr>
            <w:tcW w:w="1356" w:type="dxa"/>
            <w:vMerge w:val="continue"/>
            <w:noWrap w:val="0"/>
            <w:vAlign w:val="center"/>
          </w:tcPr>
          <w:p w14:paraId="54B829A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0D1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2D7D6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758D1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C521BB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任务6：机制检验回归结果</w:t>
            </w:r>
          </w:p>
        </w:tc>
        <w:tc>
          <w:tcPr>
            <w:tcW w:w="1356" w:type="dxa"/>
            <w:vMerge w:val="continue"/>
            <w:noWrap w:val="0"/>
            <w:vAlign w:val="center"/>
          </w:tcPr>
          <w:p w14:paraId="61C921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8A31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5D193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C38737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89EEAC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任务7：“技能挤出”效应检验回归结果</w:t>
            </w:r>
          </w:p>
        </w:tc>
        <w:tc>
          <w:tcPr>
            <w:tcW w:w="1356" w:type="dxa"/>
            <w:vMerge w:val="continue"/>
            <w:noWrap w:val="0"/>
            <w:vAlign w:val="center"/>
          </w:tcPr>
          <w:p w14:paraId="1D55FC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221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AD140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409BFE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06CC7D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任务8：资本—技能互补性的回归结果</w:t>
            </w:r>
          </w:p>
        </w:tc>
        <w:tc>
          <w:tcPr>
            <w:tcW w:w="1356" w:type="dxa"/>
            <w:vMerge w:val="continue"/>
            <w:noWrap w:val="0"/>
            <w:vAlign w:val="center"/>
          </w:tcPr>
          <w:p w14:paraId="3D4BD0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013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6FF359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ACAC75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CDD8AC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任务9：主要变量描述性统计</w:t>
            </w:r>
          </w:p>
        </w:tc>
        <w:tc>
          <w:tcPr>
            <w:tcW w:w="1356" w:type="dxa"/>
            <w:vMerge w:val="continue"/>
            <w:noWrap w:val="0"/>
            <w:vAlign w:val="center"/>
          </w:tcPr>
          <w:p w14:paraId="3B5ED44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9AF9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9EE36F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DB75F3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CCB7AA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任务10：利用可观测变量评估未观测变量的偏差程度</w:t>
            </w:r>
          </w:p>
        </w:tc>
        <w:tc>
          <w:tcPr>
            <w:tcW w:w="1356" w:type="dxa"/>
            <w:vMerge w:val="continue"/>
            <w:noWrap w:val="0"/>
            <w:vAlign w:val="center"/>
          </w:tcPr>
          <w:p w14:paraId="5A9F5BC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D93C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1474EE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DACCEF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60EE3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任务11：更换估计方法回归结果</w:t>
            </w:r>
          </w:p>
        </w:tc>
        <w:tc>
          <w:tcPr>
            <w:tcW w:w="1356" w:type="dxa"/>
            <w:vMerge w:val="continue"/>
            <w:noWrap w:val="0"/>
            <w:vAlign w:val="center"/>
          </w:tcPr>
          <w:p w14:paraId="769AC93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0F7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7B085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8B450B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ADBE9D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任务12：更换核心变量回归结果</w:t>
            </w:r>
          </w:p>
        </w:tc>
        <w:tc>
          <w:tcPr>
            <w:tcW w:w="1356" w:type="dxa"/>
            <w:vMerge w:val="continue"/>
            <w:noWrap w:val="0"/>
            <w:vAlign w:val="center"/>
          </w:tcPr>
          <w:p w14:paraId="45DC696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BB24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6DCEB4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A6B38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DCE2B8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任务13：排除其他政策性干扰回归结果</w:t>
            </w:r>
          </w:p>
        </w:tc>
        <w:tc>
          <w:tcPr>
            <w:tcW w:w="1356" w:type="dxa"/>
            <w:vMerge w:val="continue"/>
            <w:noWrap w:val="0"/>
            <w:vAlign w:val="center"/>
          </w:tcPr>
          <w:p w14:paraId="1596429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B5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DBB16D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01B8E7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9986CD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任务14：排除企业夸大性信息披露影响回归结果</w:t>
            </w:r>
          </w:p>
        </w:tc>
        <w:tc>
          <w:tcPr>
            <w:tcW w:w="1356" w:type="dxa"/>
            <w:vMerge w:val="continue"/>
            <w:noWrap w:val="0"/>
            <w:vAlign w:val="center"/>
          </w:tcPr>
          <w:p w14:paraId="3953F5A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B707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D8F94D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EDAB94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13D2C2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任务15：数字化关键词均值统计</w:t>
            </w:r>
          </w:p>
        </w:tc>
        <w:tc>
          <w:tcPr>
            <w:tcW w:w="1356" w:type="dxa"/>
            <w:vMerge w:val="continue"/>
            <w:noWrap w:val="0"/>
            <w:vAlign w:val="center"/>
          </w:tcPr>
          <w:p w14:paraId="544C14D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212B8C7A">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_Toc21356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交叠双重差分模型（产能过剩与环境规制相机选择——基于正式与非正式环境规制视角）</w:t>
      </w:r>
      <w:r>
        <w:rPr>
          <w:rFonts w:hint="eastAsia" w:ascii="宋体" w:hAnsi="宋体" w:eastAsia="宋体" w:cs="宋体"/>
          <w:b/>
          <w:bCs/>
          <w:sz w:val="24"/>
          <w:lang w:val="en-US" w:eastAsia="zh-CN"/>
        </w:rPr>
        <w:fldChar w:fldCharType="end"/>
      </w:r>
    </w:p>
    <w:p w14:paraId="62E534FF">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以顶刊论文为操作案例复现，高效掌握交叠双重差分模型建模技巧与论文写作技巧。</w:t>
      </w:r>
    </w:p>
    <w:p w14:paraId="575F263A">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4</w:t>
      </w:r>
      <w:r>
        <w:rPr>
          <w:rFonts w:hint="eastAsia" w:ascii="宋体" w:hAnsi="宋体" w:eastAsia="宋体" w:cs="宋体"/>
          <w:sz w:val="21"/>
          <w:szCs w:val="21"/>
          <w:lang w:bidi="ar"/>
        </w:rPr>
        <w:t>交叠双重差分模型（产能过剩与环境规制相机选择——基于正式与非正式环境规制视角）</w:t>
      </w:r>
    </w:p>
    <w:tbl>
      <w:tblPr>
        <w:tblStyle w:val="8"/>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4"/>
        <w:gridCol w:w="850"/>
        <w:gridCol w:w="4899"/>
        <w:gridCol w:w="1268"/>
      </w:tblGrid>
      <w:tr w14:paraId="0D3A8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934" w:type="dxa"/>
            <w:shd w:val="clear" w:color="auto" w:fill="E6E6E6"/>
            <w:noWrap w:val="0"/>
            <w:vAlign w:val="center"/>
          </w:tcPr>
          <w:p w14:paraId="250F14D6">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850" w:type="dxa"/>
            <w:shd w:val="clear" w:color="auto" w:fill="E6E6E6"/>
            <w:noWrap w:val="0"/>
            <w:vAlign w:val="center"/>
          </w:tcPr>
          <w:p w14:paraId="75DF0850">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4899" w:type="dxa"/>
            <w:shd w:val="clear" w:color="auto" w:fill="E6E6E6"/>
            <w:noWrap w:val="0"/>
            <w:vAlign w:val="center"/>
          </w:tcPr>
          <w:p w14:paraId="25FE184D">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268" w:type="dxa"/>
            <w:shd w:val="clear" w:color="auto" w:fill="E6E6E6"/>
            <w:noWrap w:val="0"/>
            <w:vAlign w:val="center"/>
          </w:tcPr>
          <w:p w14:paraId="597B219E">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1AE98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934" w:type="dxa"/>
            <w:vMerge w:val="restart"/>
            <w:noWrap w:val="0"/>
            <w:vAlign w:val="center"/>
          </w:tcPr>
          <w:p w14:paraId="5DC4D1C4">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交叠双重差分模型（产能过剩与环境规制相机选择—基于正式与非正式环境规制视角）</w:t>
            </w:r>
          </w:p>
        </w:tc>
        <w:tc>
          <w:tcPr>
            <w:tcW w:w="850" w:type="dxa"/>
            <w:vMerge w:val="restart"/>
            <w:noWrap w:val="0"/>
            <w:vAlign w:val="center"/>
          </w:tcPr>
          <w:p w14:paraId="070F093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4899" w:type="dxa"/>
            <w:noWrap w:val="0"/>
            <w:vAlign w:val="center"/>
          </w:tcPr>
          <w:p w14:paraId="74F9DA5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268" w:type="dxa"/>
            <w:vMerge w:val="restart"/>
            <w:noWrap w:val="0"/>
            <w:vAlign w:val="center"/>
          </w:tcPr>
          <w:p w14:paraId="5E1EE85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2A1C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934" w:type="dxa"/>
            <w:vMerge w:val="continue"/>
            <w:noWrap w:val="0"/>
            <w:vAlign w:val="center"/>
          </w:tcPr>
          <w:p w14:paraId="6FA16CC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850" w:type="dxa"/>
            <w:vMerge w:val="continue"/>
            <w:noWrap w:val="0"/>
            <w:vAlign w:val="center"/>
          </w:tcPr>
          <w:p w14:paraId="7D48A95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4899" w:type="dxa"/>
            <w:noWrap w:val="0"/>
            <w:vAlign w:val="center"/>
          </w:tcPr>
          <w:p w14:paraId="7CA4052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268" w:type="dxa"/>
            <w:vMerge w:val="continue"/>
            <w:noWrap w:val="0"/>
            <w:vAlign w:val="center"/>
          </w:tcPr>
          <w:p w14:paraId="5D53EB3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6980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934" w:type="dxa"/>
            <w:vMerge w:val="continue"/>
            <w:noWrap w:val="0"/>
            <w:vAlign w:val="center"/>
          </w:tcPr>
          <w:p w14:paraId="6F3647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850" w:type="dxa"/>
            <w:vMerge w:val="continue"/>
            <w:noWrap w:val="0"/>
            <w:vAlign w:val="center"/>
          </w:tcPr>
          <w:p w14:paraId="7F98D7A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4899" w:type="dxa"/>
            <w:noWrap w:val="0"/>
            <w:vAlign w:val="center"/>
          </w:tcPr>
          <w:p w14:paraId="0508EF6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268" w:type="dxa"/>
            <w:vMerge w:val="continue"/>
            <w:noWrap w:val="0"/>
            <w:vAlign w:val="center"/>
          </w:tcPr>
          <w:p w14:paraId="1BB1D4C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0E252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blHeader/>
          <w:jc w:val="center"/>
        </w:trPr>
        <w:tc>
          <w:tcPr>
            <w:tcW w:w="1934" w:type="dxa"/>
            <w:vMerge w:val="continue"/>
            <w:noWrap w:val="0"/>
            <w:vAlign w:val="center"/>
          </w:tcPr>
          <w:p w14:paraId="4DC8800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850" w:type="dxa"/>
            <w:vMerge w:val="restart"/>
            <w:noWrap w:val="0"/>
            <w:vAlign w:val="center"/>
          </w:tcPr>
          <w:p w14:paraId="30E3DFA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实施步骤</w:t>
            </w:r>
          </w:p>
        </w:tc>
        <w:tc>
          <w:tcPr>
            <w:tcW w:w="4899" w:type="dxa"/>
            <w:noWrap w:val="0"/>
            <w:vAlign w:val="center"/>
          </w:tcPr>
          <w:p w14:paraId="1DB505D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环境规制对企业环境与经济绩效的影响</w:t>
            </w:r>
          </w:p>
        </w:tc>
        <w:tc>
          <w:tcPr>
            <w:tcW w:w="1268" w:type="dxa"/>
            <w:vMerge w:val="continue"/>
            <w:noWrap w:val="0"/>
            <w:vAlign w:val="center"/>
          </w:tcPr>
          <w:p w14:paraId="60F802E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A64B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blHeader/>
          <w:jc w:val="center"/>
        </w:trPr>
        <w:tc>
          <w:tcPr>
            <w:tcW w:w="1934" w:type="dxa"/>
            <w:vMerge w:val="continue"/>
            <w:noWrap w:val="0"/>
            <w:vAlign w:val="center"/>
          </w:tcPr>
          <w:p w14:paraId="7D0B180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850" w:type="dxa"/>
            <w:vMerge w:val="continue"/>
            <w:noWrap w:val="0"/>
            <w:vAlign w:val="center"/>
          </w:tcPr>
          <w:p w14:paraId="2D3FBD9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4899" w:type="dxa"/>
            <w:noWrap w:val="0"/>
            <w:vAlign w:val="center"/>
          </w:tcPr>
          <w:p w14:paraId="75D9648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产能利用视角下环境规制对企业环境与经济绩效的影响</w:t>
            </w:r>
          </w:p>
        </w:tc>
        <w:tc>
          <w:tcPr>
            <w:tcW w:w="1268" w:type="dxa"/>
            <w:vMerge w:val="continue"/>
            <w:noWrap w:val="0"/>
            <w:vAlign w:val="center"/>
          </w:tcPr>
          <w:p w14:paraId="1E01BB8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23694CE3">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_Toc13532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β收敛模型（共同富裕的测度与驱动机制研究）</w:t>
      </w:r>
      <w:r>
        <w:rPr>
          <w:rFonts w:hint="eastAsia" w:ascii="宋体" w:hAnsi="宋体" w:eastAsia="宋体" w:cs="宋体"/>
          <w:b/>
          <w:bCs/>
          <w:sz w:val="24"/>
          <w:lang w:val="en-US" w:eastAsia="zh-CN"/>
        </w:rPr>
        <w:fldChar w:fldCharType="end"/>
      </w:r>
    </w:p>
    <w:p w14:paraId="33A20797">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以顶刊论文为操作案例复现，高效掌握β收敛模型建模技巧与论文写作技巧。</w:t>
      </w:r>
    </w:p>
    <w:p w14:paraId="7815C3B6">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5</w:t>
      </w:r>
      <w:r>
        <w:rPr>
          <w:rFonts w:hint="eastAsia" w:ascii="宋体" w:hAnsi="宋体" w:eastAsia="宋体" w:cs="宋体"/>
          <w:sz w:val="21"/>
          <w:szCs w:val="21"/>
          <w:lang w:bidi="ar"/>
        </w:rPr>
        <w:t xml:space="preserve"> </w:t>
      </w:r>
      <w:r>
        <w:rPr>
          <w:rFonts w:hint="eastAsia" w:ascii="宋体" w:hAnsi="宋体" w:eastAsia="宋体" w:cs="宋体"/>
          <w:sz w:val="21"/>
          <w:szCs w:val="21"/>
          <w:lang w:val="en-US" w:eastAsia="zh-CN" w:bidi="ar"/>
        </w:rPr>
        <w:t>β收敛模型（共同富裕的测度与驱动机制研究）</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3D37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46DDE619">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385AB2EE">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6DCA53B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6543F7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304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03FF2FE1">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β收敛模型（共同富裕的测度与驱动机制研究）</w:t>
            </w:r>
          </w:p>
          <w:p w14:paraId="7B11782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7E93C21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55E3098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2FF9A7C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63D5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352D28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9F4419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73790EC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005DD8A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47C0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7CDE36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1C93B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7056A8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2E94764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0951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FE3E1B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610AE1F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0F92C45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任务1：各类收入β收敛检验结果</w:t>
            </w:r>
          </w:p>
        </w:tc>
        <w:tc>
          <w:tcPr>
            <w:tcW w:w="1356" w:type="dxa"/>
            <w:vMerge w:val="continue"/>
            <w:noWrap w:val="0"/>
            <w:vAlign w:val="center"/>
          </w:tcPr>
          <w:p w14:paraId="3CA8F7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5D8B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A48CB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83D3A8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70CB68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任务2：各类基尼系数β收敛检验结果</w:t>
            </w:r>
          </w:p>
        </w:tc>
        <w:tc>
          <w:tcPr>
            <w:tcW w:w="1356" w:type="dxa"/>
            <w:vMerge w:val="continue"/>
            <w:noWrap w:val="0"/>
            <w:vAlign w:val="center"/>
          </w:tcPr>
          <w:p w14:paraId="244DF9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3A7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A8F3E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6040E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79B81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各类收入分阶段条件β收敛</w:t>
            </w:r>
          </w:p>
        </w:tc>
        <w:tc>
          <w:tcPr>
            <w:tcW w:w="1356" w:type="dxa"/>
            <w:vMerge w:val="continue"/>
            <w:noWrap w:val="0"/>
            <w:vAlign w:val="center"/>
          </w:tcPr>
          <w:p w14:paraId="0CC68E9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E1B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FACA56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555DB1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C3DE99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稳健性检验：地级市层面－各类收入β收敛检验结果</w:t>
            </w:r>
          </w:p>
        </w:tc>
        <w:tc>
          <w:tcPr>
            <w:tcW w:w="1356" w:type="dxa"/>
            <w:vMerge w:val="continue"/>
            <w:noWrap w:val="0"/>
            <w:vAlign w:val="center"/>
          </w:tcPr>
          <w:p w14:paraId="5D08E44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ECBA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F1829D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0DD19D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13992A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稳健性检验：调整后基尼系数的检验结果</w:t>
            </w:r>
          </w:p>
        </w:tc>
        <w:tc>
          <w:tcPr>
            <w:tcW w:w="1356" w:type="dxa"/>
            <w:vMerge w:val="continue"/>
            <w:noWrap w:val="0"/>
            <w:vAlign w:val="center"/>
          </w:tcPr>
          <w:p w14:paraId="0541A9F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4EC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DA8240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358CD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F4489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任务6：使用CLDS计算的基尼系数的收敛性检验</w:t>
            </w:r>
          </w:p>
        </w:tc>
        <w:tc>
          <w:tcPr>
            <w:tcW w:w="1356" w:type="dxa"/>
            <w:vMerge w:val="continue"/>
            <w:noWrap w:val="0"/>
            <w:vAlign w:val="center"/>
          </w:tcPr>
          <w:p w14:paraId="68B4704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3B3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A5D3D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AA117C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A1C363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任务7：数字普惠金融和传统金融的直接效应</w:t>
            </w:r>
          </w:p>
        </w:tc>
        <w:tc>
          <w:tcPr>
            <w:tcW w:w="1356" w:type="dxa"/>
            <w:vMerge w:val="continue"/>
            <w:noWrap w:val="0"/>
            <w:vAlign w:val="center"/>
          </w:tcPr>
          <w:p w14:paraId="3D6ACCB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6497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64DB57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99E716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CC71DA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任务8：条件β收敛检验结果</w:t>
            </w:r>
          </w:p>
        </w:tc>
        <w:tc>
          <w:tcPr>
            <w:tcW w:w="1356" w:type="dxa"/>
            <w:vMerge w:val="continue"/>
            <w:noWrap w:val="0"/>
            <w:vAlign w:val="center"/>
          </w:tcPr>
          <w:p w14:paraId="4E1625F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E649BB0">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_Toc30008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强度双重差分模型（生产性政府债务与城市创新力—基于中国城市面板数据的经验研究）</w:t>
      </w:r>
      <w:r>
        <w:rPr>
          <w:rFonts w:hint="eastAsia" w:ascii="宋体" w:hAnsi="宋体" w:eastAsia="宋体" w:cs="宋体"/>
          <w:b/>
          <w:bCs/>
          <w:sz w:val="24"/>
          <w:lang w:val="en-US" w:eastAsia="zh-CN"/>
        </w:rPr>
        <w:fldChar w:fldCharType="end"/>
      </w:r>
    </w:p>
    <w:p w14:paraId="5BF0E4C0">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以顶刊论文为操作案例复现，高效掌握强度双重差分模型建模技巧与论文写作技巧。</w:t>
      </w:r>
    </w:p>
    <w:p w14:paraId="3E01B9C8">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6</w:t>
      </w:r>
      <w:r>
        <w:rPr>
          <w:rFonts w:hint="eastAsia" w:ascii="宋体" w:hAnsi="宋体" w:eastAsia="宋体" w:cs="宋体"/>
          <w:sz w:val="21"/>
          <w:szCs w:val="21"/>
          <w:lang w:bidi="ar"/>
        </w:rPr>
        <w:t xml:space="preserve"> </w:t>
      </w:r>
      <w:r>
        <w:rPr>
          <w:rFonts w:hint="eastAsia" w:ascii="宋体" w:hAnsi="宋体" w:eastAsia="宋体" w:cs="宋体"/>
          <w:sz w:val="21"/>
          <w:szCs w:val="21"/>
          <w:lang w:val="en-US" w:eastAsia="zh-CN" w:bidi="ar"/>
        </w:rPr>
        <w:t>强度双重差分模型（生产性政府债务与城市创新力—基于中国城市面板数据的经验研究）</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4FF1D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7DA63011">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336F2700">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713608F">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6C2ADAF2">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7B3B5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028A8A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bidi="ar"/>
              </w:rPr>
              <w:t>强度双重差分模型（生产性政府债务与城市创新力—基于中国城市面板数据的经验研究）</w:t>
            </w:r>
          </w:p>
        </w:tc>
        <w:tc>
          <w:tcPr>
            <w:tcW w:w="1240" w:type="dxa"/>
            <w:vMerge w:val="restart"/>
            <w:noWrap w:val="0"/>
            <w:vAlign w:val="center"/>
          </w:tcPr>
          <w:p w14:paraId="526CFED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AB634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5A3A82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3C2F8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85A7C9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2A4814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C5FA8B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7F66DD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2264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4A6B28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950130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20F413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07B5A49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6C9AA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DCF30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16A465D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24BD0A1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任务1：生产性地方政府债务与城市创新力</w:t>
            </w:r>
          </w:p>
        </w:tc>
        <w:tc>
          <w:tcPr>
            <w:tcW w:w="1356" w:type="dxa"/>
            <w:vMerge w:val="continue"/>
            <w:noWrap w:val="0"/>
            <w:vAlign w:val="center"/>
          </w:tcPr>
          <w:p w14:paraId="6B206AA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DD8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84FD3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E33BE7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8942C5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任务2：地方政府债务与城市创新力（IV）</w:t>
            </w:r>
          </w:p>
        </w:tc>
        <w:tc>
          <w:tcPr>
            <w:tcW w:w="1356" w:type="dxa"/>
            <w:vMerge w:val="continue"/>
            <w:noWrap w:val="0"/>
            <w:vAlign w:val="center"/>
          </w:tcPr>
          <w:p w14:paraId="0910AF0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A2BE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9B4FB7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291823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B5963A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任务3：机制检验结果</w:t>
            </w:r>
          </w:p>
        </w:tc>
        <w:tc>
          <w:tcPr>
            <w:tcW w:w="1356" w:type="dxa"/>
            <w:vMerge w:val="continue"/>
            <w:noWrap w:val="0"/>
            <w:vAlign w:val="center"/>
          </w:tcPr>
          <w:p w14:paraId="1F7BBBD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F1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A149A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0CF167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5A00A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任务4：机制检验的进一步分析结果</w:t>
            </w:r>
          </w:p>
        </w:tc>
        <w:tc>
          <w:tcPr>
            <w:tcW w:w="1356" w:type="dxa"/>
            <w:vMerge w:val="continue"/>
            <w:noWrap w:val="0"/>
            <w:vAlign w:val="center"/>
          </w:tcPr>
          <w:p w14:paraId="770129A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232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DF7F0E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5895EC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08773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任务5：生产性地方政府债务对不同区域城市创新力的影响</w:t>
            </w:r>
          </w:p>
        </w:tc>
        <w:tc>
          <w:tcPr>
            <w:tcW w:w="1356" w:type="dxa"/>
            <w:vMerge w:val="continue"/>
            <w:noWrap w:val="0"/>
            <w:vAlign w:val="center"/>
          </w:tcPr>
          <w:p w14:paraId="499722D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B92E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E8D4AE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4F3905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8AD8E9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任务6：生产性地方政府债务对城市创新力的影响差异</w:t>
            </w:r>
          </w:p>
        </w:tc>
        <w:tc>
          <w:tcPr>
            <w:tcW w:w="1356" w:type="dxa"/>
            <w:vMerge w:val="continue"/>
            <w:noWrap w:val="0"/>
            <w:vAlign w:val="center"/>
          </w:tcPr>
          <w:p w14:paraId="531E211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5F2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2092F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2F7C09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1A9741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任务7:2006—2014 年主要变量统计描述</w:t>
            </w:r>
          </w:p>
        </w:tc>
        <w:tc>
          <w:tcPr>
            <w:tcW w:w="1356" w:type="dxa"/>
            <w:vMerge w:val="continue"/>
            <w:noWrap w:val="0"/>
            <w:vAlign w:val="center"/>
          </w:tcPr>
          <w:p w14:paraId="5DDE82A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EE5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2F7B33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73CADD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D5D2BD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任务8：更换核心解释变量</w:t>
            </w:r>
          </w:p>
        </w:tc>
        <w:tc>
          <w:tcPr>
            <w:tcW w:w="1356" w:type="dxa"/>
            <w:vMerge w:val="continue"/>
            <w:noWrap w:val="0"/>
            <w:vAlign w:val="center"/>
          </w:tcPr>
          <w:p w14:paraId="1FB4BDF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50CB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041F9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7EEED2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EFC1C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任务9：</w:t>
            </w:r>
            <w:r>
              <w:rPr>
                <w:rFonts w:hint="eastAsia" w:ascii="宋体" w:hAnsi="宋体" w:eastAsia="宋体" w:cs="宋体"/>
                <w:sz w:val="21"/>
                <w:szCs w:val="21"/>
                <w:lang w:val="en-US" w:eastAsia="zh-CN"/>
              </w:rPr>
              <w:t>平行趋势检验</w:t>
            </w:r>
          </w:p>
        </w:tc>
        <w:tc>
          <w:tcPr>
            <w:tcW w:w="1356" w:type="dxa"/>
            <w:vMerge w:val="continue"/>
            <w:noWrap w:val="0"/>
            <w:vAlign w:val="center"/>
          </w:tcPr>
          <w:p w14:paraId="639DA8B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C662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9E0EB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C7E017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E817EA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任务10：</w:t>
            </w:r>
            <w:r>
              <w:rPr>
                <w:rFonts w:hint="eastAsia" w:ascii="宋体" w:hAnsi="宋体" w:eastAsia="宋体" w:cs="宋体"/>
                <w:sz w:val="21"/>
                <w:szCs w:val="21"/>
                <w:lang w:val="en-US" w:eastAsia="zh-CN"/>
              </w:rPr>
              <w:t>随机处理后系数估计值的分布</w:t>
            </w:r>
          </w:p>
        </w:tc>
        <w:tc>
          <w:tcPr>
            <w:tcW w:w="1356" w:type="dxa"/>
            <w:vMerge w:val="continue"/>
            <w:noWrap w:val="0"/>
            <w:vAlign w:val="center"/>
          </w:tcPr>
          <w:p w14:paraId="2BAEB59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011D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14D710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AD72D3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53EC23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任务11：</w:t>
            </w:r>
            <w:r>
              <w:rPr>
                <w:rFonts w:hint="eastAsia" w:ascii="宋体" w:hAnsi="宋体" w:eastAsia="宋体" w:cs="宋体"/>
                <w:sz w:val="21"/>
                <w:szCs w:val="21"/>
                <w:lang w:val="en-US" w:eastAsia="zh-CN"/>
              </w:rPr>
              <w:t>排除国家创新型城市的影响</w:t>
            </w:r>
          </w:p>
        </w:tc>
        <w:tc>
          <w:tcPr>
            <w:tcW w:w="1356" w:type="dxa"/>
            <w:vMerge w:val="continue"/>
            <w:noWrap w:val="0"/>
            <w:vAlign w:val="center"/>
          </w:tcPr>
          <w:p w14:paraId="382BC3E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3C84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D5CE7A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436516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73B89F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任务12：</w:t>
            </w:r>
            <w:r>
              <w:rPr>
                <w:rFonts w:hint="eastAsia" w:ascii="宋体" w:hAnsi="宋体" w:eastAsia="宋体" w:cs="宋体"/>
                <w:sz w:val="21"/>
                <w:szCs w:val="21"/>
                <w:lang w:val="en-US" w:eastAsia="zh-CN"/>
              </w:rPr>
              <w:t>更换数据</w:t>
            </w:r>
          </w:p>
        </w:tc>
        <w:tc>
          <w:tcPr>
            <w:tcW w:w="1356" w:type="dxa"/>
            <w:vMerge w:val="continue"/>
            <w:noWrap w:val="0"/>
            <w:vAlign w:val="center"/>
          </w:tcPr>
          <w:p w14:paraId="4B6361E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60E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A0C0A6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73108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910C5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任务13：</w:t>
            </w:r>
            <w:r>
              <w:rPr>
                <w:rFonts w:hint="eastAsia" w:ascii="宋体" w:hAnsi="宋体" w:eastAsia="宋体" w:cs="宋体"/>
                <w:sz w:val="21"/>
                <w:szCs w:val="21"/>
                <w:lang w:val="en-US" w:eastAsia="zh-CN"/>
              </w:rPr>
              <w:t>被解释变量前置一期</w:t>
            </w:r>
          </w:p>
        </w:tc>
        <w:tc>
          <w:tcPr>
            <w:tcW w:w="1356" w:type="dxa"/>
            <w:vMerge w:val="continue"/>
            <w:noWrap w:val="0"/>
            <w:vAlign w:val="center"/>
          </w:tcPr>
          <w:p w14:paraId="3AF606C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2E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5F5C7D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B091A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12F5C9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任务14：</w:t>
            </w:r>
            <w:r>
              <w:rPr>
                <w:rFonts w:hint="eastAsia" w:ascii="宋体" w:hAnsi="宋体" w:eastAsia="宋体" w:cs="宋体"/>
                <w:sz w:val="21"/>
                <w:szCs w:val="21"/>
                <w:lang w:val="en-US" w:eastAsia="zh-CN"/>
              </w:rPr>
              <w:t>机制分析的稳健性检验（一）</w:t>
            </w:r>
          </w:p>
        </w:tc>
        <w:tc>
          <w:tcPr>
            <w:tcW w:w="1356" w:type="dxa"/>
            <w:vMerge w:val="continue"/>
            <w:noWrap w:val="0"/>
            <w:vAlign w:val="center"/>
          </w:tcPr>
          <w:p w14:paraId="0F06A09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4D6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4C4A1B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9E1170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0B3A22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任务15：</w:t>
            </w:r>
            <w:r>
              <w:rPr>
                <w:rFonts w:hint="eastAsia" w:ascii="宋体" w:hAnsi="宋体" w:eastAsia="宋体" w:cs="宋体"/>
                <w:sz w:val="21"/>
                <w:szCs w:val="21"/>
                <w:lang w:val="en-US" w:eastAsia="zh-CN"/>
              </w:rPr>
              <w:t>机制分析的稳健性检验（二）</w:t>
            </w:r>
          </w:p>
        </w:tc>
        <w:tc>
          <w:tcPr>
            <w:tcW w:w="1356" w:type="dxa"/>
            <w:vMerge w:val="continue"/>
            <w:noWrap w:val="0"/>
            <w:vAlign w:val="center"/>
          </w:tcPr>
          <w:p w14:paraId="693B1B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66F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537479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D956C3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BB81FB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任务16：</w:t>
            </w:r>
            <w:r>
              <w:rPr>
                <w:rFonts w:hint="eastAsia" w:ascii="宋体" w:hAnsi="宋体" w:eastAsia="宋体" w:cs="宋体"/>
                <w:sz w:val="21"/>
                <w:szCs w:val="21"/>
                <w:lang w:val="en-US" w:eastAsia="zh-CN"/>
              </w:rPr>
              <w:t>机制分析的稳健性检验（三）</w:t>
            </w:r>
          </w:p>
        </w:tc>
        <w:tc>
          <w:tcPr>
            <w:tcW w:w="1356" w:type="dxa"/>
            <w:vMerge w:val="continue"/>
            <w:noWrap w:val="0"/>
            <w:vAlign w:val="center"/>
          </w:tcPr>
          <w:p w14:paraId="2B36B7C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415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A1753F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67B18C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DC240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任务17：</w:t>
            </w:r>
            <w:r>
              <w:rPr>
                <w:rFonts w:hint="eastAsia" w:ascii="宋体" w:hAnsi="宋体" w:eastAsia="宋体" w:cs="宋体"/>
                <w:sz w:val="21"/>
                <w:szCs w:val="21"/>
                <w:lang w:val="en-US" w:eastAsia="zh-CN"/>
              </w:rPr>
              <w:t>城投债与城市创新力</w:t>
            </w:r>
          </w:p>
        </w:tc>
        <w:tc>
          <w:tcPr>
            <w:tcW w:w="1356" w:type="dxa"/>
            <w:vMerge w:val="continue"/>
            <w:noWrap w:val="0"/>
            <w:vAlign w:val="center"/>
          </w:tcPr>
          <w:p w14:paraId="04AC5F8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745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E2CE1B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CD4030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AA4C56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任务18：</w:t>
            </w:r>
            <w:r>
              <w:rPr>
                <w:rFonts w:hint="eastAsia" w:ascii="宋体" w:hAnsi="宋体" w:eastAsia="宋体" w:cs="宋体"/>
                <w:sz w:val="21"/>
                <w:szCs w:val="21"/>
                <w:lang w:val="en-US" w:eastAsia="zh-CN"/>
              </w:rPr>
              <w:t>地方政府债与城市创新力</w:t>
            </w:r>
          </w:p>
        </w:tc>
        <w:tc>
          <w:tcPr>
            <w:tcW w:w="1356" w:type="dxa"/>
            <w:vMerge w:val="continue"/>
            <w:noWrap w:val="0"/>
            <w:vAlign w:val="center"/>
          </w:tcPr>
          <w:p w14:paraId="058166D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2D3C9EA0">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_Toc26573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面板门槛效应回归模型（“强省会”战略的创新效应研究）</w:t>
      </w:r>
      <w:r>
        <w:rPr>
          <w:rFonts w:hint="eastAsia" w:ascii="宋体" w:hAnsi="宋体" w:eastAsia="宋体" w:cs="宋体"/>
          <w:b/>
          <w:bCs/>
          <w:sz w:val="24"/>
          <w:lang w:val="en-US" w:eastAsia="zh-CN"/>
        </w:rPr>
        <w:fldChar w:fldCharType="end"/>
      </w:r>
    </w:p>
    <w:p w14:paraId="5226167C">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以顶刊论文为操作案例复现，高效掌握面板门槛效应回归模型建模技巧与论文写作技巧。</w:t>
      </w:r>
    </w:p>
    <w:p w14:paraId="0537AF26">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7</w:t>
      </w:r>
      <w:r>
        <w:rPr>
          <w:rFonts w:hint="eastAsia" w:ascii="宋体" w:hAnsi="宋体" w:eastAsia="宋体" w:cs="宋体"/>
          <w:sz w:val="21"/>
          <w:szCs w:val="21"/>
          <w:lang w:bidi="ar"/>
        </w:rPr>
        <w:t xml:space="preserve"> 面板门槛效应回归模型（“强省会”战略的创新效应研究）</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0845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2CAD6310">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4E8D380E">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E1EEC2E">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0D4041A">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6DA0A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6B27E455">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面板门槛效应回归模型（“强省会”战略的创新效应研究）</w:t>
            </w:r>
          </w:p>
        </w:tc>
        <w:tc>
          <w:tcPr>
            <w:tcW w:w="1240" w:type="dxa"/>
            <w:vMerge w:val="restart"/>
            <w:noWrap w:val="0"/>
            <w:vAlign w:val="center"/>
          </w:tcPr>
          <w:p w14:paraId="068F2AB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16963D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01B27C5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77E80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84B033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A3CDD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564B5B5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64A09F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1921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D91E90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C1220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0D27EA2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2E83A3E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172E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4EDF7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2B6C872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7FCB09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任务1：基础模型回归结果</w:t>
            </w:r>
          </w:p>
        </w:tc>
        <w:tc>
          <w:tcPr>
            <w:tcW w:w="1356" w:type="dxa"/>
            <w:vMerge w:val="continue"/>
            <w:noWrap w:val="0"/>
            <w:vAlign w:val="center"/>
          </w:tcPr>
          <w:p w14:paraId="4411B47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0911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58E702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AA73D0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BE40A6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任务2：工具变量回归结果</w:t>
            </w:r>
          </w:p>
        </w:tc>
        <w:tc>
          <w:tcPr>
            <w:tcW w:w="1356" w:type="dxa"/>
            <w:vMerge w:val="continue"/>
            <w:noWrap w:val="0"/>
            <w:vAlign w:val="center"/>
          </w:tcPr>
          <w:p w14:paraId="28C9079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F147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A5583C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DC45A3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DDF329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稳健性检验回归结果</w:t>
            </w:r>
          </w:p>
        </w:tc>
        <w:tc>
          <w:tcPr>
            <w:tcW w:w="1356" w:type="dxa"/>
            <w:vMerge w:val="continue"/>
            <w:noWrap w:val="0"/>
            <w:vAlign w:val="center"/>
          </w:tcPr>
          <w:p w14:paraId="2BD55D2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8065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8B704F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304156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E1995F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基于上市公司稳健性检验</w:t>
            </w:r>
          </w:p>
        </w:tc>
        <w:tc>
          <w:tcPr>
            <w:tcW w:w="1356" w:type="dxa"/>
            <w:vMerge w:val="continue"/>
            <w:noWrap w:val="0"/>
            <w:vAlign w:val="center"/>
          </w:tcPr>
          <w:p w14:paraId="2485DA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F7E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31C48C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9824F1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F56AC3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异质性检验结果</w:t>
            </w:r>
          </w:p>
        </w:tc>
        <w:tc>
          <w:tcPr>
            <w:tcW w:w="1356" w:type="dxa"/>
            <w:vMerge w:val="continue"/>
            <w:noWrap w:val="0"/>
            <w:vAlign w:val="center"/>
          </w:tcPr>
          <w:p w14:paraId="32D798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BE3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BA939B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9D0C70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D2035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任务6：溢出效应检验结果</w:t>
            </w:r>
          </w:p>
        </w:tc>
        <w:tc>
          <w:tcPr>
            <w:tcW w:w="1356" w:type="dxa"/>
            <w:vMerge w:val="continue"/>
            <w:noWrap w:val="0"/>
            <w:vAlign w:val="center"/>
          </w:tcPr>
          <w:p w14:paraId="2B9D97F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F73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D3C472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1B3EFC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AD89D4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任务7：门槛数检验</w:t>
            </w:r>
          </w:p>
        </w:tc>
        <w:tc>
          <w:tcPr>
            <w:tcW w:w="1356" w:type="dxa"/>
            <w:vMerge w:val="continue"/>
            <w:noWrap w:val="0"/>
            <w:vAlign w:val="center"/>
          </w:tcPr>
          <w:p w14:paraId="344A2B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58E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815F9C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EB642B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61BEBE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任务8：门槛效应检验结果</w:t>
            </w:r>
          </w:p>
        </w:tc>
        <w:tc>
          <w:tcPr>
            <w:tcW w:w="1356" w:type="dxa"/>
            <w:vMerge w:val="continue"/>
            <w:noWrap w:val="0"/>
            <w:vAlign w:val="center"/>
          </w:tcPr>
          <w:p w14:paraId="3E851F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BD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BE41C2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8CB031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BEA790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任务9：调节作用检验结果</w:t>
            </w:r>
          </w:p>
        </w:tc>
        <w:tc>
          <w:tcPr>
            <w:tcW w:w="1356" w:type="dxa"/>
            <w:vMerge w:val="continue"/>
            <w:noWrap w:val="0"/>
            <w:vAlign w:val="center"/>
          </w:tcPr>
          <w:p w14:paraId="6B72AC8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505BD65">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_Toc4098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β收敛模型与空间计量模型（创新集群的“中心—外围结构”：技术互补与经济增长收敛性研究）</w:t>
      </w:r>
      <w:r>
        <w:rPr>
          <w:rFonts w:hint="eastAsia" w:ascii="宋体" w:hAnsi="宋体" w:eastAsia="宋体" w:cs="宋体"/>
          <w:b/>
          <w:bCs/>
          <w:sz w:val="24"/>
          <w:lang w:val="en-US" w:eastAsia="zh-CN"/>
        </w:rPr>
        <w:fldChar w:fldCharType="end"/>
      </w:r>
    </w:p>
    <w:p w14:paraId="6A470EF0">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以顶刊论文为操作案例复现，高效掌握β收敛模型与空间计量模型建模技巧与论文写作技巧。</w:t>
      </w:r>
    </w:p>
    <w:p w14:paraId="627730EB">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 xml:space="preserve">8 </w:t>
      </w:r>
      <w:r>
        <w:rPr>
          <w:rFonts w:hint="eastAsia" w:ascii="宋体" w:hAnsi="宋体" w:eastAsia="宋体" w:cs="宋体"/>
          <w:sz w:val="21"/>
          <w:szCs w:val="21"/>
          <w:lang w:bidi="ar"/>
        </w:rPr>
        <w:t>β收敛模型与空间计量模型（创新集群的“中心—外围结构”：技术互补与经济增长收敛性研究）</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752"/>
        <w:gridCol w:w="5058"/>
        <w:gridCol w:w="1356"/>
      </w:tblGrid>
      <w:tr w14:paraId="73D4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583" w:type="dxa"/>
            <w:shd w:val="clear" w:color="auto" w:fill="E6E6E6"/>
            <w:noWrap w:val="0"/>
            <w:vAlign w:val="center"/>
          </w:tcPr>
          <w:p w14:paraId="1CA118C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752" w:type="dxa"/>
            <w:shd w:val="clear" w:color="auto" w:fill="E6E6E6"/>
            <w:noWrap w:val="0"/>
            <w:vAlign w:val="center"/>
          </w:tcPr>
          <w:p w14:paraId="5D66368C">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762D07E4">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5487C5DD">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65A3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restart"/>
            <w:noWrap w:val="0"/>
            <w:vAlign w:val="center"/>
          </w:tcPr>
          <w:p w14:paraId="0F5483D8">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β收敛模型与空间计量模型（创新集群的“中心—外围结构”：技术互补与经济增长收敛性研究）</w:t>
            </w:r>
          </w:p>
        </w:tc>
        <w:tc>
          <w:tcPr>
            <w:tcW w:w="752" w:type="dxa"/>
            <w:vMerge w:val="restart"/>
            <w:noWrap w:val="0"/>
            <w:vAlign w:val="center"/>
          </w:tcPr>
          <w:p w14:paraId="00868B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53075AA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7246DB6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0BAB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237E3C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64305FE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E2699A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57DCB89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FBA3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3B7FD9F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56A68E6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4AFA025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3E479FE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28BD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1E9952D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restart"/>
            <w:noWrap w:val="0"/>
            <w:vAlign w:val="center"/>
          </w:tcPr>
          <w:p w14:paraId="3EEE02A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74D69A8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任务1：互补性技术体系下的β收敛检验结果</w:t>
            </w:r>
          </w:p>
        </w:tc>
        <w:tc>
          <w:tcPr>
            <w:tcW w:w="1356" w:type="dxa"/>
            <w:vMerge w:val="continue"/>
            <w:noWrap w:val="0"/>
            <w:vAlign w:val="center"/>
          </w:tcPr>
          <w:p w14:paraId="20A275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3B0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6746A17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4FC48E9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B9C546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任务2：20个创新集群的绝对β收敛检验结果</w:t>
            </w:r>
          </w:p>
        </w:tc>
        <w:tc>
          <w:tcPr>
            <w:tcW w:w="1356" w:type="dxa"/>
            <w:vMerge w:val="continue"/>
            <w:noWrap w:val="0"/>
            <w:vAlign w:val="center"/>
          </w:tcPr>
          <w:p w14:paraId="40A63EB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8D0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0D6BE9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4F6248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D7605E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20个创新集群的条件β收敛检验结果</w:t>
            </w:r>
          </w:p>
        </w:tc>
        <w:tc>
          <w:tcPr>
            <w:tcW w:w="1356" w:type="dxa"/>
            <w:vMerge w:val="continue"/>
            <w:noWrap w:val="0"/>
            <w:vAlign w:val="center"/>
          </w:tcPr>
          <w:p w14:paraId="506C3DA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32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7A42746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2486E6E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C1400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竞争性技术体系下的β收敛性检验</w:t>
            </w:r>
          </w:p>
        </w:tc>
        <w:tc>
          <w:tcPr>
            <w:tcW w:w="1356" w:type="dxa"/>
            <w:vMerge w:val="continue"/>
            <w:noWrap w:val="0"/>
            <w:vAlign w:val="center"/>
          </w:tcPr>
          <w:p w14:paraId="66CB1D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AC3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22D35B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5B277A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B0D4E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协同式创新影响创新集群中心—外围技术互补的检验结果</w:t>
            </w:r>
          </w:p>
        </w:tc>
        <w:tc>
          <w:tcPr>
            <w:tcW w:w="1356" w:type="dxa"/>
            <w:vMerge w:val="continue"/>
            <w:noWrap w:val="0"/>
            <w:vAlign w:val="center"/>
          </w:tcPr>
          <w:p w14:paraId="612B2FD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02786451">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_Toc1725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合成控制法（大小城市合并与行政边界地区经济增长：基于机器学习算法的合成控制评估）</w:t>
      </w:r>
      <w:r>
        <w:rPr>
          <w:rFonts w:hint="eastAsia" w:ascii="宋体" w:hAnsi="宋体" w:eastAsia="宋体" w:cs="宋体"/>
          <w:b/>
          <w:bCs/>
          <w:sz w:val="24"/>
          <w:lang w:val="en-US" w:eastAsia="zh-CN"/>
        </w:rPr>
        <w:fldChar w:fldCharType="end"/>
      </w:r>
      <w:r>
        <w:rPr>
          <w:rFonts w:hint="eastAsia" w:ascii="宋体" w:hAnsi="宋体" w:eastAsia="宋体" w:cs="宋体"/>
          <w:b/>
          <w:bCs/>
          <w:sz w:val="24"/>
          <w:lang w:val="en-US" w:eastAsia="zh-CN"/>
        </w:rPr>
        <w:t>:</w:t>
      </w:r>
    </w:p>
    <w:p w14:paraId="7E207FC7">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以顶刊论文为操作案例复现，高效掌握合成控制法建模技巧与论文写作技巧。</w:t>
      </w:r>
    </w:p>
    <w:p w14:paraId="2C7F435B">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9</w:t>
      </w:r>
      <w:r>
        <w:rPr>
          <w:rFonts w:hint="eastAsia" w:ascii="宋体" w:hAnsi="宋体" w:eastAsia="宋体" w:cs="宋体"/>
          <w:sz w:val="21"/>
          <w:szCs w:val="21"/>
          <w:lang w:bidi="ar"/>
        </w:rPr>
        <w:t xml:space="preserve"> </w:t>
      </w:r>
      <w:r>
        <w:rPr>
          <w:rFonts w:hint="eastAsia" w:ascii="宋体" w:hAnsi="宋体" w:eastAsia="宋体" w:cs="宋体"/>
          <w:sz w:val="21"/>
          <w:szCs w:val="21"/>
          <w:lang w:val="en-US" w:eastAsia="zh-CN" w:bidi="ar"/>
        </w:rPr>
        <w:t>合成控制法（大小城市合并与行政边界地区经济增长：基于机器学习算法的合成控制评估）</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1AAF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55E3C7ED">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77E9BB5A">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7A22E54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0CC7292">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18B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7CB144C8">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合成控制法（大小城市合并与行政边界地区经济增长：基于机器学习算法的合成控制评估）</w:t>
            </w:r>
          </w:p>
          <w:p w14:paraId="328C602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p w14:paraId="7A14532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p w14:paraId="451106F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02C5FF2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B3BCD4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6D1BF2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7105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350B1C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BF654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C20984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020B053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A5A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2157D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CBE9D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975ACB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10F2D59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0789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03AD9E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73D7D6D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实验实施步骤</w:t>
            </w:r>
          </w:p>
        </w:tc>
        <w:tc>
          <w:tcPr>
            <w:tcW w:w="5058" w:type="dxa"/>
            <w:noWrap w:val="0"/>
            <w:vAlign w:val="center"/>
          </w:tcPr>
          <w:p w14:paraId="515C0C2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任务1：济南莱芜边界地区与其他边界地区的灯光亮度随年分布变化图</w:t>
            </w:r>
          </w:p>
        </w:tc>
        <w:tc>
          <w:tcPr>
            <w:tcW w:w="1356" w:type="dxa"/>
            <w:vMerge w:val="continue"/>
            <w:noWrap w:val="0"/>
            <w:vAlign w:val="center"/>
          </w:tcPr>
          <w:p w14:paraId="5D1FA9D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852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C76D8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3FA15F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59653E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任务2：基准模型结果</w:t>
            </w:r>
          </w:p>
        </w:tc>
        <w:tc>
          <w:tcPr>
            <w:tcW w:w="1356" w:type="dxa"/>
            <w:vMerge w:val="continue"/>
            <w:noWrap w:val="0"/>
            <w:vAlign w:val="center"/>
          </w:tcPr>
          <w:p w14:paraId="576F09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297C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BA5C8A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67E83B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BC7883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更换边界地区度量方式：绝对距离法</w:t>
            </w:r>
          </w:p>
        </w:tc>
        <w:tc>
          <w:tcPr>
            <w:tcW w:w="1356" w:type="dxa"/>
            <w:vMerge w:val="continue"/>
            <w:noWrap w:val="0"/>
            <w:vAlign w:val="center"/>
          </w:tcPr>
          <w:p w14:paraId="4DD1DC6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C3B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4DC3B2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F81850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1ABA0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更换控制组为全国边界地区</w:t>
            </w:r>
          </w:p>
        </w:tc>
        <w:tc>
          <w:tcPr>
            <w:tcW w:w="1356" w:type="dxa"/>
            <w:vMerge w:val="continue"/>
            <w:noWrap w:val="0"/>
            <w:vAlign w:val="center"/>
          </w:tcPr>
          <w:p w14:paraId="72714CA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416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3C14A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11FB75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97B81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Lasso算法下的政策效应</w:t>
            </w:r>
          </w:p>
        </w:tc>
        <w:tc>
          <w:tcPr>
            <w:tcW w:w="1356" w:type="dxa"/>
            <w:vMerge w:val="continue"/>
            <w:noWrap w:val="0"/>
            <w:vAlign w:val="center"/>
          </w:tcPr>
          <w:p w14:paraId="787356A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A9C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2F36A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534ECE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BF8648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任务6：安慰剂检验</w:t>
            </w:r>
          </w:p>
        </w:tc>
        <w:tc>
          <w:tcPr>
            <w:tcW w:w="1356" w:type="dxa"/>
            <w:vMerge w:val="continue"/>
            <w:noWrap w:val="0"/>
            <w:vAlign w:val="center"/>
          </w:tcPr>
          <w:p w14:paraId="7E8EEDF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A5B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951D6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D66BA7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7FD92E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任务7：济南莱芜边界两侧灯光分别合成</w:t>
            </w:r>
          </w:p>
        </w:tc>
        <w:tc>
          <w:tcPr>
            <w:tcW w:w="1356" w:type="dxa"/>
            <w:vMerge w:val="continue"/>
            <w:noWrap w:val="0"/>
            <w:vAlign w:val="center"/>
          </w:tcPr>
          <w:p w14:paraId="04E3F68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C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C6B82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228C88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4B7AD4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任务8：济南和莱芜中心城区灯光分别合成</w:t>
            </w:r>
          </w:p>
        </w:tc>
        <w:tc>
          <w:tcPr>
            <w:tcW w:w="1356" w:type="dxa"/>
            <w:vMerge w:val="continue"/>
            <w:noWrap w:val="0"/>
            <w:vAlign w:val="center"/>
          </w:tcPr>
          <w:p w14:paraId="5A5176F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B61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0D532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6CCB3B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A171D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任务9：样本外测试：2018年为测试集</w:t>
            </w:r>
          </w:p>
        </w:tc>
        <w:tc>
          <w:tcPr>
            <w:tcW w:w="1356" w:type="dxa"/>
            <w:vMerge w:val="continue"/>
            <w:noWrap w:val="0"/>
            <w:vAlign w:val="center"/>
          </w:tcPr>
          <w:p w14:paraId="4B271AB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C7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03C97F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6DFF2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51813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任务10：样本外测试：更换验证集</w:t>
            </w:r>
          </w:p>
        </w:tc>
        <w:tc>
          <w:tcPr>
            <w:tcW w:w="1356" w:type="dxa"/>
            <w:vMerge w:val="continue"/>
            <w:noWrap w:val="0"/>
            <w:vAlign w:val="center"/>
          </w:tcPr>
          <w:p w14:paraId="2007E4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71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7BD0A8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6F7046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4ED652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任务11：长春和公主岭边界地区灯光分别合成</w:t>
            </w:r>
          </w:p>
        </w:tc>
        <w:tc>
          <w:tcPr>
            <w:tcW w:w="1356" w:type="dxa"/>
            <w:vMerge w:val="continue"/>
            <w:noWrap w:val="0"/>
            <w:vAlign w:val="center"/>
          </w:tcPr>
          <w:p w14:paraId="32F5B7C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DA64F0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rPr>
      </w:pPr>
      <w:bookmarkStart w:id="1" w:name="_Hlk117690077"/>
      <w:r>
        <w:rPr>
          <w:rFonts w:hint="eastAsia" w:ascii="宋体" w:hAnsi="宋体" w:eastAsia="宋体" w:cs="宋体"/>
          <w:b/>
          <w:bCs/>
          <w:sz w:val="24"/>
        </w:rPr>
        <w:t>二、评分指标</w:t>
      </w:r>
    </w:p>
    <w:p w14:paraId="244968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1.以上</w:t>
      </w:r>
      <w:r>
        <w:rPr>
          <w:rFonts w:hint="eastAsia" w:ascii="宋体" w:hAnsi="宋体" w:eastAsia="宋体" w:cs="宋体"/>
          <w:sz w:val="24"/>
          <w:szCs w:val="24"/>
        </w:rPr>
        <w:t>★</w:t>
      </w:r>
      <w:r>
        <w:rPr>
          <w:rFonts w:hint="eastAsia" w:ascii="宋体" w:hAnsi="宋体" w:eastAsia="宋体" w:cs="宋体"/>
          <w:sz w:val="24"/>
          <w:szCs w:val="24"/>
          <w:lang w:val="en-US" w:eastAsia="zh-CN"/>
        </w:rPr>
        <w:t>为核心功能，</w:t>
      </w:r>
      <w:r>
        <w:rPr>
          <w:rFonts w:hint="eastAsia" w:ascii="宋体" w:hAnsi="宋体" w:eastAsia="宋体" w:cs="宋体"/>
          <w:sz w:val="24"/>
        </w:rPr>
        <w:t>每个扣技术总分的1/</w:t>
      </w:r>
      <w:r>
        <w:rPr>
          <w:rFonts w:hint="eastAsia" w:ascii="宋体" w:hAnsi="宋体" w:eastAsia="宋体" w:cs="宋体"/>
          <w:sz w:val="24"/>
          <w:lang w:val="en-US" w:eastAsia="zh-CN"/>
        </w:rPr>
        <w:t>17</w:t>
      </w:r>
      <w:r>
        <w:rPr>
          <w:rFonts w:hint="eastAsia" w:ascii="宋体" w:hAnsi="宋体" w:eastAsia="宋体" w:cs="宋体"/>
          <w:sz w:val="24"/>
        </w:rPr>
        <w:t>，直到全部技术总分扣完为止。</w:t>
      </w:r>
    </w:p>
    <w:p w14:paraId="080837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2.现场或远程展示以上</w:t>
      </w:r>
      <w:r>
        <w:rPr>
          <w:rFonts w:hint="eastAsia" w:ascii="宋体" w:hAnsi="宋体" w:eastAsia="宋体" w:cs="宋体"/>
          <w:sz w:val="24"/>
          <w:lang w:val="en-US" w:eastAsia="zh-CN"/>
        </w:rPr>
        <w:t>9</w:t>
      </w:r>
      <w:r>
        <w:rPr>
          <w:rFonts w:hint="eastAsia" w:ascii="宋体" w:hAnsi="宋体" w:eastAsia="宋体" w:cs="宋体"/>
          <w:sz w:val="24"/>
        </w:rPr>
        <w:t>个</w:t>
      </w:r>
      <w:r>
        <w:rPr>
          <w:rFonts w:hint="eastAsia" w:ascii="宋体" w:hAnsi="宋体" w:eastAsia="宋体" w:cs="宋体"/>
          <w:sz w:val="24"/>
          <w:lang w:val="en-US" w:eastAsia="zh-CN"/>
        </w:rPr>
        <w:t>案例</w:t>
      </w:r>
      <w:r>
        <w:rPr>
          <w:rFonts w:hint="eastAsia" w:ascii="宋体" w:hAnsi="宋体" w:eastAsia="宋体" w:cs="宋体"/>
          <w:sz w:val="24"/>
        </w:rPr>
        <w:t>实验的源代码</w:t>
      </w:r>
      <w:r>
        <w:rPr>
          <w:rFonts w:hint="eastAsia" w:ascii="宋体" w:hAnsi="宋体" w:eastAsia="宋体" w:cs="宋体"/>
          <w:sz w:val="24"/>
          <w:lang w:val="en-US" w:eastAsia="zh-CN"/>
        </w:rPr>
        <w:t>可视化数据</w:t>
      </w:r>
      <w:r>
        <w:rPr>
          <w:rFonts w:hint="eastAsia" w:ascii="宋体" w:hAnsi="宋体" w:eastAsia="宋体" w:cs="宋体"/>
          <w:sz w:val="24"/>
        </w:rPr>
        <w:t>，并讲解源代码流程逻辑，如不能展示源代码，或讲解源代码流程逻辑，每个扣技术总分的1/</w:t>
      </w:r>
      <w:r>
        <w:rPr>
          <w:rFonts w:hint="eastAsia" w:ascii="宋体" w:hAnsi="宋体" w:eastAsia="宋体" w:cs="宋体"/>
          <w:sz w:val="24"/>
          <w:lang w:val="en-US" w:eastAsia="zh-CN"/>
        </w:rPr>
        <w:t>9</w:t>
      </w:r>
      <w:r>
        <w:rPr>
          <w:rFonts w:hint="eastAsia" w:ascii="宋体" w:hAnsi="宋体" w:eastAsia="宋体" w:cs="宋体"/>
          <w:sz w:val="24"/>
        </w:rPr>
        <w:t>，直到全部技术总分扣完为止。</w:t>
      </w:r>
    </w:p>
    <w:p w14:paraId="6F61FD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3.具有完全自主著作权，须提供加盖制造商鲜章的著作权复印件，如满足，得5分。</w:t>
      </w:r>
    </w:p>
    <w:p w14:paraId="5C088E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4.制造厂商（拥有“经济大数据自动化机器人”软件著作权视为制造厂商）直接投标，得20分。如非制造厂商投标，需提供制造厂商授权函和售后服务承诺函原件，得5分。否则不得分。</w:t>
      </w:r>
    </w:p>
    <w:p w14:paraId="37C265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5.软件中配有上课使用的教学PPT。需现场或远程演示。如满足，得5分。</w:t>
      </w:r>
    </w:p>
    <w:p w14:paraId="564F98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6.投标人具有强大的师资力量和丰富的培训经验，股东具有高校教师背景，并能提供高校教师资格证复印件。如满足，得5分。</w:t>
      </w:r>
    </w:p>
    <w:p w14:paraId="31F255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14:paraId="150456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8. 投标人实施方案（包含但不限于质量保证、交货期、安装调试、验收等内容）的科学性、合理性等情况。满分5分。</w:t>
      </w:r>
      <w:bookmarkEnd w:id="1"/>
    </w:p>
    <w:p w14:paraId="0C6B42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p>
    <w:p w14:paraId="240776F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8FBF5">
    <w:pPr>
      <w:pStyle w:val="6"/>
      <w:rPr>
        <w:rFonts w:hint="eastAsia"/>
      </w:rPr>
    </w:pPr>
    <w:bookmarkStart w:id="2" w:name="_Hlk178243777"/>
    <w:r>
      <w:rPr>
        <w:rFonts w:hint="eastAsia" w:eastAsia="微软雅黑"/>
      </w:rPr>
      <w:drawing>
        <wp:inline distT="0" distB="0" distL="0" distR="0">
          <wp:extent cx="1325880" cy="237490"/>
          <wp:effectExtent l="0" t="0" r="7620" b="10160"/>
          <wp:docPr id="720209445"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09445"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2"/>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5A81F"/>
    <w:multiLevelType w:val="singleLevel"/>
    <w:tmpl w:val="0865A81F"/>
    <w:lvl w:ilvl="0" w:tentative="0">
      <w:start w:val="1"/>
      <w:numFmt w:val="decimal"/>
      <w:suff w:val="nothing"/>
      <w:lvlText w:val="%1．"/>
      <w:lvlJc w:val="left"/>
      <w:pPr>
        <w:ind w:left="0" w:firstLine="400"/>
      </w:pPr>
      <w:rPr>
        <w:rFonts w:hint="default"/>
      </w:rPr>
    </w:lvl>
  </w:abstractNum>
  <w:abstractNum w:abstractNumId="1">
    <w:nsid w:val="16C831B0"/>
    <w:multiLevelType w:val="singleLevel"/>
    <w:tmpl w:val="16C831B0"/>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076BFE"/>
    <w:rsid w:val="01B50CDA"/>
    <w:rsid w:val="623D3005"/>
    <w:rsid w:val="7C07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semiHidden/>
    <w:unhideWhenUsed/>
    <w:qFormat/>
    <w:uiPriority w:val="99"/>
    <w:pPr>
      <w:spacing w:after="120"/>
      <w:ind w:left="420" w:leftChars="200"/>
    </w:pPr>
  </w:style>
  <w:style w:type="paragraph" w:styleId="4">
    <w:name w:val="Plain Text"/>
    <w:basedOn w:val="1"/>
    <w:qFormat/>
    <w:uiPriority w:val="0"/>
    <w:rPr>
      <w:rFonts w:hint="eastAsia" w:ascii="宋体" w:hAnsi="Courier New" w:eastAsia="宋体" w:cs="Times New Roman"/>
      <w:szCs w:val="22"/>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line="360" w:lineRule="auto"/>
      <w:ind w:firstLine="880" w:firstLineChars="200"/>
      <w:jc w:val="left"/>
    </w:pPr>
    <w:rPr>
      <w:rFonts w:ascii="Calibri" w:hAnsi="Calibri"/>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4884</Words>
  <Characters>5063</Characters>
  <Lines>0</Lines>
  <Paragraphs>0</Paragraphs>
  <TotalTime>9</TotalTime>
  <ScaleCrop>false</ScaleCrop>
  <LinksUpToDate>false</LinksUpToDate>
  <CharactersWithSpaces>5078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2025-02-13T08:51:00Z</dcterms:created>
  <dc:creator>肥嘟好肥</dc:creator>
  <cp:lastModifiedBy>王先帅</cp:lastModifiedBy>
  <dcterms:modified xsi:type="dcterms:W3CDTF">2025-05-29T09:45:07Z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0B4B430A95E945BCA1AB5E120532A80B_11</vt:lpwstr>
  </property>
  <property fmtid="{D5CDD505-2E9C-101B-9397-08002B2CF9AE}" pid="4" name="KSOTemplateDocerSaveRecord">
    <vt:lpwstr>eyJoZGlkIjoiNzEwODg2ZjliZGNmOWRiNTM3YTQ5MDE4NzI5Y2VmM2IiLCJ1c2VySWQiOiI0MDM0NDIxMzIifQ==</vt:lpwstr>
  </property>
</Properties>
</file>