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C29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rFonts w:hint="eastAsia"/>
        </w:rPr>
        <w:t xml:space="preserve"> </w:t>
      </w:r>
    </w:p>
    <w:p w14:paraId="33505BF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3E0E304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558090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182F6D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ge">
                  <wp:posOffset>2303145</wp:posOffset>
                </wp:positionV>
                <wp:extent cx="6280785" cy="17805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0785" cy="178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B9C166A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eastAsia="zh-CN"/>
                              </w:rPr>
                              <w:t>AI经济建模教学平台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181.35pt;height:140.2pt;width:494.55pt;mso-position-vertical-relative:page;z-index:251659264;mso-width-relative:page;mso-height-relative:page;" filled="f" stroked="f" coordsize="21600,21600" o:gfxdata="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NOP&#10;jdkAAAALAQAADwAAAAAAAAABACAAAAAiAAAAZHJzL2Rvd25yZXYueG1sUEsBAhQAFAAAAAgAh07i&#10;QJzTV2KvAQAATwMAAA4AAAAAAAAAAQAgAAAAKA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B9C166A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eastAsia="zh-CN"/>
                        </w:rPr>
                        <w:t>AI经济建模教学平台</w:t>
                      </w:r>
                    </w:p>
                  </w:txbxContent>
                </v:textbox>
              </v:shape>
            </w:pict>
          </mc:Fallback>
        </mc:AlternateContent>
      </w:r>
    </w:p>
    <w:p w14:paraId="383F12A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6C39C4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730A948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4A47E05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39106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20C36E0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04C0A1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</w:p>
    <w:p w14:paraId="411E5AE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  <w:r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t>——教学大纲</w:t>
      </w:r>
    </w:p>
    <w:p w14:paraId="5885686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</w:p>
    <w:p w14:paraId="5C204E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661035</wp:posOffset>
            </wp:positionH>
            <wp:positionV relativeFrom="paragraph">
              <wp:posOffset>328930</wp:posOffset>
            </wp:positionV>
            <wp:extent cx="1388110" cy="1610995"/>
            <wp:effectExtent l="0" t="0" r="13970" b="4445"/>
            <wp:wrapSquare wrapText="bothSides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7E7E7E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ge">
                  <wp:posOffset>5904865</wp:posOffset>
                </wp:positionV>
                <wp:extent cx="5361305" cy="304292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305" cy="304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A6F3EA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Cs w:val="28"/>
                              </w:rPr>
                              <w:drawing>
                                <wp:inline distT="0" distB="0" distL="114300" distR="114300">
                                  <wp:extent cx="1687830" cy="1742440"/>
                                  <wp:effectExtent l="0" t="0" r="3810" b="10160"/>
                                  <wp:docPr id="3" name="图片 1" descr="202305091340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1" descr="202305091340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 l="57083" t="157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7830" cy="1742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D6FC12">
                            <w:pPr>
                              <w:spacing w:line="360" w:lineRule="auto"/>
                              <w:jc w:val="center"/>
                            </w:pPr>
                          </w:p>
                          <w:p w14:paraId="06E0482D">
                            <w:pPr>
                              <w:spacing w:line="360" w:lineRule="auto"/>
                              <w:jc w:val="center"/>
                            </w:pPr>
                          </w:p>
                          <w:p w14:paraId="5A3C8C41">
                            <w:pPr>
                              <w:spacing w:line="220" w:lineRule="atLeast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bookmarkStart w:id="16" w:name="_Hlk178243754"/>
                            <w:r>
                              <w:rPr>
                                <w:rFonts w:hint="eastAsia" w:eastAsia="微软雅黑"/>
                              </w:rPr>
                              <w:drawing>
                                <wp:inline distT="0" distB="0" distL="114300" distR="114300">
                                  <wp:extent cx="2260600" cy="400685"/>
                                  <wp:effectExtent l="0" t="0" r="6350" b="18415"/>
                                  <wp:docPr id="4" name="图片 2" descr="logo黑色文字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2" descr="logo黑色文字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0" cy="400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6"/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45pt;margin-top:464.95pt;height:239.6pt;width:422.15pt;mso-position-vertical-relative:page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rYGINcA&#10;AAALAQAADwAAAAAAAAABACAAAAAiAAAAZHJzL2Rvd25yZXYueG1sUEsBAhQAFAAAAAgAh07iQEjS&#10;mga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A6F3EA">
                      <w:pPr>
                        <w:spacing w:line="360" w:lineRule="auto"/>
                        <w:jc w:val="both"/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Cs w:val="28"/>
                        </w:rPr>
                        <w:drawing>
                          <wp:inline distT="0" distB="0" distL="114300" distR="114300">
                            <wp:extent cx="1687830" cy="1742440"/>
                            <wp:effectExtent l="0" t="0" r="3810" b="10160"/>
                            <wp:docPr id="3" name="图片 1" descr="202305091340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1" descr="202305091340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rcRect l="57083" t="157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7830" cy="1742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D6FC12">
                      <w:pPr>
                        <w:spacing w:line="360" w:lineRule="auto"/>
                        <w:jc w:val="center"/>
                      </w:pPr>
                    </w:p>
                    <w:p w14:paraId="06E0482D">
                      <w:pPr>
                        <w:spacing w:line="360" w:lineRule="auto"/>
                        <w:jc w:val="center"/>
                      </w:pPr>
                    </w:p>
                    <w:p w14:paraId="5A3C8C41">
                      <w:pPr>
                        <w:spacing w:line="220" w:lineRule="atLeast"/>
                        <w:jc w:val="center"/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bookmarkStart w:id="16" w:name="_Hlk178243754"/>
                      <w:r>
                        <w:rPr>
                          <w:rFonts w:hint="eastAsia" w:eastAsia="微软雅黑"/>
                        </w:rPr>
                        <w:drawing>
                          <wp:inline distT="0" distB="0" distL="114300" distR="114300">
                            <wp:extent cx="2260600" cy="400685"/>
                            <wp:effectExtent l="0" t="0" r="6350" b="18415"/>
                            <wp:docPr id="4" name="图片 2" descr="logo黑色文字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2" descr="logo黑色文字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0" cy="400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6"/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F5270C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目录</w:t>
      </w:r>
    </w:p>
    <w:p w14:paraId="562396A3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</w:rPr>
        <w:fldChar w:fldCharType="begin"/>
      </w:r>
      <w:r>
        <w:rPr>
          <w:rFonts w:hint="eastAsia" w:ascii="宋体" w:hAnsi="宋体" w:eastAsia="宋体" w:cs="宋体"/>
          <w:b/>
          <w:bCs/>
          <w:sz w:val="24"/>
        </w:rPr>
        <w:instrText xml:space="preserve">TOC \o "1-3" \h \u </w:instrText>
      </w:r>
      <w:r>
        <w:rPr>
          <w:rFonts w:hint="eastAsia" w:ascii="宋体" w:hAnsi="宋体" w:eastAsia="宋体" w:cs="宋体"/>
          <w:b/>
          <w:bCs/>
          <w:sz w:val="24"/>
        </w:rPr>
        <w:fldChar w:fldCharType="separate"/>
      </w: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_Toc8083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一、 实验课的性质与任务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_Toc8083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502769BE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_Toc27600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二、 实验课程目的与要求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_Toc27600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52DE250A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_Toc25149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三、 实验项目及内容提要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_Toc25149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F21D0E6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_Toc16061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四、 实验内容安排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_Toc16061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642DC6B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_Toc13907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实验一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AI经济建模教学平台软件基础技术学习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_Toc13907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04392692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_Toc767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实验二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双重差分模型（腾笼换鸟的房价效应：以老工业区搬迁改造为例）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_Toc767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4D2F6D4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_Toc12969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实验三  </w:t>
      </w:r>
      <w:r>
        <w:rPr>
          <w:rFonts w:hint="eastAsia" w:ascii="宋体" w:hAnsi="宋体" w:eastAsia="宋体" w:cs="宋体"/>
        </w:rPr>
        <w:t>渐进双重差分模型（制度创新、营商环境与城市创业活力—来自中国自由贸易试验区的证据）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_Toc12969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7F387CF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_Toc4816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实验</w:t>
      </w:r>
      <w:r>
        <w:rPr>
          <w:rFonts w:hint="eastAsia" w:ascii="宋体" w:hAnsi="宋体" w:eastAsia="宋体" w:cs="宋体"/>
          <w:lang w:val="en-US" w:eastAsia="zh-CN"/>
        </w:rPr>
        <w:t>四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双向固定效应模型（数字化转型如何影响劳动技能溢价——基于A股上市公司数据的经验研究）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_Toc4816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7B54674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_Toc21595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实验五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交叠双重差分模型（产能过剩与环境规制相机选择——基于正式与非正式环境规制视角）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_Toc21595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8222B5E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_Toc7016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实验六  </w:t>
      </w:r>
      <w:r>
        <w:rPr>
          <w:rFonts w:hint="eastAsia" w:ascii="宋体" w:hAnsi="宋体" w:eastAsia="宋体" w:cs="宋体"/>
        </w:rPr>
        <w:t>β收敛模型（共同富裕的测度与驱动机制研究）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_Toc7016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04ABA05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_Toc20005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实验七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强度双重差分模型（生产性政府债务与城市创新力—基于中国城市面板数据的经验研究）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_Toc20005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CA07FFB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_Toc23917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实验八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面板门槛效应回归模型（“强省会”战略的创新效应研究）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_Toc23917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21C314E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_Toc15244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实验九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_Toc15244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185A96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_Toc13820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实验十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合成控制法（大小城市合并与行政边界地区经济增长：基于机器学习算法的合成控制评估）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_Toc13820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B12672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_Toc7734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五、 考核方式、方法及实验成绩评定方法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_Toc7734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BD10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</w:rPr>
        <w:sectPr>
          <w:headerReference r:id="rId6" w:type="first"/>
          <w:footerReference r:id="rId8" w:type="first"/>
          <w:footerReference r:id="rId7" w:type="default"/>
          <w:pgSz w:w="11906" w:h="16838"/>
          <w:pgMar w:top="1440" w:right="1797" w:bottom="1440" w:left="1797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Cs/>
        </w:rPr>
        <w:fldChar w:fldCharType="end"/>
      </w:r>
    </w:p>
    <w:p w14:paraId="4C7D3A9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sz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lang w:eastAsia="zh-CN"/>
        </w:rPr>
        <w:t>AI经济建模教学平台</w:t>
      </w:r>
      <w:r>
        <w:rPr>
          <w:rFonts w:hint="eastAsia" w:ascii="微软雅黑" w:hAnsi="微软雅黑" w:eastAsia="微软雅黑" w:cs="微软雅黑"/>
          <w:b/>
          <w:bCs/>
          <w:sz w:val="28"/>
        </w:rPr>
        <w:t>教学大纲</w:t>
      </w:r>
    </w:p>
    <w:p w14:paraId="355E360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黑体" w:hAnsi="宋体" w:eastAsia="黑体"/>
          <w:sz w:val="24"/>
        </w:rPr>
      </w:pPr>
    </w:p>
    <w:p w14:paraId="5346FA4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课程总学时：</w:t>
      </w:r>
      <w:r>
        <w:rPr>
          <w:rFonts w:hint="eastAsia" w:ascii="宋体" w:hAnsi="宋体" w:cs="宋体"/>
          <w:szCs w:val="21"/>
          <w:lang w:val="en-US" w:eastAsia="zh-CN"/>
        </w:rPr>
        <w:t xml:space="preserve">每个案例6-8学时  </w:t>
      </w:r>
      <w:r>
        <w:rPr>
          <w:rFonts w:hint="eastAsia" w:ascii="宋体" w:hAnsi="宋体" w:cs="宋体"/>
          <w:szCs w:val="21"/>
        </w:rPr>
        <w:t xml:space="preserve">   学分：3    （此2项如果实验是独立设课可不写）</w:t>
      </w:r>
    </w:p>
    <w:p w14:paraId="09D264A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实验学时：</w:t>
      </w:r>
      <w:r>
        <w:rPr>
          <w:rFonts w:hint="eastAsia" w:ascii="宋体" w:hAnsi="宋体" w:cs="宋体"/>
          <w:szCs w:val="21"/>
          <w:lang w:val="en-US" w:eastAsia="zh-CN"/>
        </w:rPr>
        <w:t>每个案例6-8学时</w:t>
      </w:r>
      <w:r>
        <w:rPr>
          <w:rFonts w:hint="eastAsia" w:ascii="宋体" w:hAnsi="宋体" w:cs="宋体"/>
          <w:szCs w:val="21"/>
        </w:rPr>
        <w:t xml:space="preserve">   　 实验个数：</w:t>
      </w: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cs="宋体"/>
          <w:szCs w:val="21"/>
        </w:rPr>
        <w:t xml:space="preserve">       实验学分：3</w:t>
      </w:r>
    </w:p>
    <w:p w14:paraId="3E42847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课程性质：必做                                     适用专业：经济学、金融学</w:t>
      </w:r>
    </w:p>
    <w:p w14:paraId="698AAF8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教材及参考书：                       </w:t>
      </w:r>
    </w:p>
    <w:p w14:paraId="0702DA1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大纲执笔人：高峻峰            　                   大纲审定人： </w:t>
      </w:r>
    </w:p>
    <w:p w14:paraId="6FD6185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0" w:name="_Toc8083"/>
      <w:r>
        <w:rPr>
          <w:rFonts w:hint="eastAsia" w:ascii="微软雅黑" w:hAnsi="微软雅黑" w:eastAsia="微软雅黑" w:cs="微软雅黑"/>
          <w:sz w:val="24"/>
        </w:rPr>
        <w:t>实验课的性质与任务</w:t>
      </w:r>
      <w:bookmarkEnd w:id="0"/>
    </w:p>
    <w:p w14:paraId="56EB1B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本课程是经济类或金融类专业的必修专业课之一。</w:t>
      </w:r>
      <w:r>
        <w:rPr>
          <w:rFonts w:hint="eastAsia" w:ascii="宋体" w:hAnsi="宋体" w:cs="宋体"/>
          <w:sz w:val="21"/>
          <w:szCs w:val="21"/>
          <w:lang w:eastAsia="zh-CN"/>
        </w:rPr>
        <w:t>AI经济建模教学平台</w:t>
      </w:r>
      <w:r>
        <w:rPr>
          <w:rFonts w:hint="eastAsia" w:ascii="宋体" w:hAnsi="宋体" w:eastAsia="宋体" w:cs="宋体"/>
          <w:sz w:val="21"/>
          <w:szCs w:val="21"/>
        </w:rPr>
        <w:t>基于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AI、Python、stata技术，根据通过顶刊论文案例复现操作，融合AI和机器学习</w:t>
      </w:r>
      <w:r>
        <w:rPr>
          <w:rFonts w:hint="eastAsia" w:ascii="宋体" w:hAnsi="宋体" w:eastAsia="宋体" w:cs="宋体"/>
          <w:sz w:val="21"/>
          <w:szCs w:val="21"/>
        </w:rPr>
        <w:t>展示数据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AI经济建模实验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实现读取数据、数据预处理、各类检验、数据可视化、特征工程、文本分析、调试工具、stata计量建模分析等科研分析任务，</w:t>
      </w:r>
      <w:r>
        <w:rPr>
          <w:rFonts w:hint="eastAsia" w:ascii="宋体" w:hAnsi="宋体" w:eastAsia="宋体" w:cs="宋体"/>
          <w:sz w:val="21"/>
          <w:szCs w:val="21"/>
        </w:rPr>
        <w:t>内容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包括</w:t>
      </w:r>
      <w:r>
        <w:rPr>
          <w:rFonts w:hint="eastAsia" w:ascii="宋体" w:hAnsi="宋体" w:eastAsia="宋体" w:cs="宋体"/>
          <w:sz w:val="21"/>
          <w:szCs w:val="21"/>
        </w:rPr>
        <w:t>顶刊论文结构拆解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AI选题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研究主题论证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提出假说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实证分析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结果解读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研究背景理论分析假设论证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润色与AI审稿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等实验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大案例，包括：</w:t>
      </w:r>
    </w:p>
    <w:p w14:paraId="7DECA51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2FAB6D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5695A45C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12B8C7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_Toc21356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交叠双重差分模型（产能过剩与环境规制相机选择—基于正式与非正式环境规制视角）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3694CE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E649BB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3C9EA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505BD65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78645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6BDF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学生通过实验的学习和操作掌握经济大数据时代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</w:t>
      </w:r>
      <w:r>
        <w:rPr>
          <w:rFonts w:hint="eastAsia" w:ascii="宋体" w:hAnsi="宋体" w:eastAsia="宋体" w:cs="宋体"/>
          <w:sz w:val="21"/>
          <w:szCs w:val="21"/>
        </w:rPr>
        <w:t>的应用。此平台有助于提高学生自主设计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计量建模与论文写作能力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D826CD3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" w:name="_Toc27600"/>
      <w:r>
        <w:rPr>
          <w:rFonts w:hint="eastAsia" w:ascii="微软雅黑" w:hAnsi="微软雅黑" w:eastAsia="微软雅黑" w:cs="微软雅黑"/>
          <w:sz w:val="24"/>
        </w:rPr>
        <w:t>实验课程目的与要求</w:t>
      </w:r>
      <w:bookmarkEnd w:id="1"/>
    </w:p>
    <w:p w14:paraId="1C28BE2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1．实验目的</w:t>
      </w:r>
    </w:p>
    <w:p w14:paraId="69F225B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培养技术应用能力：掌握AI、Python、Stata等技术工具在经济建模中的实际应用，包括数据预处理、模型构建、结果可视化与分析。通过低代码/拖拉拽操作，降低编程门槛，提升学生对计量经济学模型（如DID、双向固定效应、合成控制法等）的实践操作能力。</w:t>
      </w:r>
    </w:p>
    <w:p w14:paraId="05BD4D4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提升学术研究素养：系统学习顶刊论文结构拆解、选题论证、假说提出、实证分析、结果解读等科研全流程。强化论文写作能力，包括文献综述、理论框架构建、实证结果解释及政策建议撰写。</w:t>
      </w:r>
    </w:p>
    <w:p w14:paraId="3D460D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深化理论与案例结合：通过复现9大经典案例（如双重差分模型、β收敛模型、面板门槛效应等），理解不同模型的适用场景、前提假设及局限性。结合中国实际经济问题（如老工业区搬迁、自贸区政策、数字化转型等），培养政策分析与实证研究能力。</w:t>
      </w:r>
    </w:p>
    <w:p w14:paraId="7F7138B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增强科研能力和论文指导：通过AI经济建模拆解论文结构，</w:t>
      </w:r>
      <w:r>
        <w:rPr>
          <w:rFonts w:hint="eastAsia" w:ascii="宋体" w:hAnsi="宋体" w:cs="宋体"/>
          <w:szCs w:val="21"/>
          <w:lang w:val="en-US" w:eastAsia="zh-CN"/>
        </w:rPr>
        <w:t>精读</w:t>
      </w:r>
      <w:r>
        <w:rPr>
          <w:rFonts w:hint="eastAsia" w:ascii="宋体" w:hAnsi="宋体" w:eastAsia="宋体" w:cs="宋体"/>
          <w:szCs w:val="21"/>
          <w:lang w:val="en-US" w:eastAsia="zh-CN"/>
        </w:rPr>
        <w:t>论文，借鉴顶刊论文，从理论、方法、数据等多角度创新，AI计量建模低代码进行实证分析，复现固定效应模型、双向固定模型、渐进差分模型等，不仅有助于毕业论文指导，还可以助力科研。</w:t>
      </w:r>
    </w:p>
    <w:p w14:paraId="35A3EB7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2．实验要求</w:t>
      </w:r>
    </w:p>
    <w:p w14:paraId="1B03E3A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技能掌握</w:t>
      </w:r>
    </w:p>
    <w:p w14:paraId="36A0D97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工具使用：熟练操作AI经济建模平台、国内AI大模型（如文献检索与数据匹配）、Stata/Python代码验证。</w:t>
      </w:r>
    </w:p>
    <w:p w14:paraId="3A97A2D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模型应用：能够独立完成双重差分模型、交叠DID、合成控制法、空间计量模型等复杂模型的实现与解读。</w:t>
      </w:r>
    </w:p>
    <w:p w14:paraId="690CCAC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数据处理：掌握数据清洗、检验（如平行趋势、稳健性）、特征工程、文本分析等全流程操作。</w:t>
      </w:r>
    </w:p>
    <w:p w14:paraId="7393BFA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实验任务</w:t>
      </w:r>
    </w:p>
    <w:p w14:paraId="301C04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每个实验案例需完成以下任务：</w:t>
      </w:r>
    </w:p>
    <w:p w14:paraId="601EEA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数据准备：下载并预处理案例相关数据（如城市面板数据、上市公司数据）。</w:t>
      </w:r>
    </w:p>
    <w:p w14:paraId="6B7E20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模型复现：通过平台复现基准回归、稳健性检验、异质性分析等实证步骤。</w:t>
      </w:r>
    </w:p>
    <w:p w14:paraId="06A1A1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结果总结：输出仿写论文文档，包括研究设计、实证结果、机制分析与政策建议。</w:t>
      </w:r>
    </w:p>
    <w:p w14:paraId="080D78C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学术规范</w:t>
      </w:r>
    </w:p>
    <w:p w14:paraId="1C9128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需严格遵循科研伦理，正确引用文献，避免学术不端行为。</w:t>
      </w:r>
    </w:p>
    <w:p w14:paraId="76FECBA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通过AI辅助工具（如润色、审稿功能）提升论文规范性。</w:t>
      </w:r>
    </w:p>
    <w:p w14:paraId="3C0E610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课时与成果</w:t>
      </w:r>
    </w:p>
    <w:p w14:paraId="33A0D3C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课时安排：每个案例6-8课时（理论+实践），建议大二或大三开设。</w:t>
      </w:r>
    </w:p>
    <w:p w14:paraId="6115A2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成果输出：完成9大案例的复现报告及仿写论文，掌握从选题到发表的完整科研流程。</w:t>
      </w:r>
    </w:p>
    <w:p w14:paraId="6E09787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2" w:name="_Toc25149"/>
      <w:r>
        <w:rPr>
          <w:rFonts w:hint="eastAsia" w:ascii="微软雅黑" w:hAnsi="微软雅黑" w:eastAsia="微软雅黑" w:cs="微软雅黑"/>
          <w:sz w:val="24"/>
        </w:rPr>
        <w:t>实验项目及内容提要</w:t>
      </w:r>
      <w:bookmarkEnd w:id="2"/>
    </w:p>
    <w:tbl>
      <w:tblPr>
        <w:tblStyle w:val="11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296"/>
        <w:gridCol w:w="607"/>
        <w:gridCol w:w="594"/>
        <w:gridCol w:w="600"/>
        <w:gridCol w:w="534"/>
        <w:gridCol w:w="489"/>
        <w:gridCol w:w="467"/>
        <w:gridCol w:w="500"/>
        <w:gridCol w:w="500"/>
        <w:gridCol w:w="2675"/>
      </w:tblGrid>
      <w:tr w14:paraId="1639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C8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AI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经济建模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教学平台</w:t>
            </w:r>
          </w:p>
        </w:tc>
      </w:tr>
      <w:tr w14:paraId="05C0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704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  <w:p w14:paraId="283AD0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88E791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62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实验名称</w:t>
            </w:r>
          </w:p>
        </w:tc>
        <w:tc>
          <w:tcPr>
            <w:tcW w:w="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6F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</w:p>
        </w:tc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64C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必做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A7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选做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01F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学分数</w:t>
            </w: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DD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实验类型</w:t>
            </w:r>
          </w:p>
        </w:tc>
        <w:tc>
          <w:tcPr>
            <w:tcW w:w="2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DCE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内容提要</w:t>
            </w:r>
          </w:p>
        </w:tc>
      </w:tr>
      <w:tr w14:paraId="2A90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6B7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F5F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641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BC4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53B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5A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B0E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08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4A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C302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D5D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B09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317F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8CE5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3C9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4F7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基本操作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7F9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验证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16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C1E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</w:t>
            </w:r>
          </w:p>
        </w:tc>
        <w:tc>
          <w:tcPr>
            <w:tcW w:w="2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DABC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E1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6A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06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AI经济建模教学平台软件基础技术学习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325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5A4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4BC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B0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84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9B6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AC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38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122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实训平台界面介绍及使用</w:t>
            </w:r>
          </w:p>
        </w:tc>
      </w:tr>
      <w:tr w14:paraId="54C1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E54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D1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双重差分模型（腾笼换鸟的房价效应：以老工业区搬迁改造为例）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A21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6FE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23A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E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39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A25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10D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08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650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高效掌握双重差分模型建模技巧与论文写作技巧</w:t>
            </w:r>
          </w:p>
        </w:tc>
      </w:tr>
      <w:tr w14:paraId="33854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45B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EB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渐进双重差分模型（制度创新、营商环境与城市创业活力—来自中国自由贸易试验区的证据）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67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3B8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20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11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DB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ADA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B4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479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21B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129E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26C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AF6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双向固定效应模型（数字化转型如何影响劳动技能溢价——基于A股上市公司数据的经验研究）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8CF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8D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B5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7F1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96A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0DB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37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E7B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4B5E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96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15F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交叠双重差分模型（产能过剩与环境规制相机选择——基于正式与非正式环境规制视角）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6A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70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7DB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04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2E1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6DD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68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62F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26E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交叠双重差分模型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048D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61B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87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β收敛模型（共同富裕的测度与驱动机制研究）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D2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3A3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76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03D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1D1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71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4AB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10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6D9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3492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3B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DC5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强度双重差分模型（生产性政府债务与城市创新力—基于中国城市面板数据的经验研究）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B1B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28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9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692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144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57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C75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17F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D19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高效掌握强度双重差分模型建模技巧与论文写作技巧</w:t>
            </w:r>
          </w:p>
        </w:tc>
      </w:tr>
      <w:tr w14:paraId="0A4D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8B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B21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面板门槛效应回归模型（“强省会”战略的创新效应研究）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154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BF0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AAB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5E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EC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EA5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E0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669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0F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高效掌握面板门槛效应回归模型建模技巧与论文写作技巧</w:t>
            </w:r>
          </w:p>
        </w:tc>
      </w:tr>
      <w:tr w14:paraId="06BB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74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CBE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β收敛模型与空间计量模型（创新集群的“中心—外围结构”：技术互补与经济增长收敛性研究）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6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77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0696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FE7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434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1F1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313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CBE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A4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高效掌握β收敛模型与空间计量模型建模技巧与论文写作技巧</w:t>
            </w:r>
          </w:p>
        </w:tc>
      </w:tr>
      <w:tr w14:paraId="37B0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E56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5F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合成控制法（大小城市合并与行政边界地区经济增长：基于机器学习算法的合成控制评估）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EF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CF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351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40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6C2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4D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C01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B6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13C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高效掌握合成控制法建模技巧与论文写作技巧</w:t>
            </w:r>
          </w:p>
        </w:tc>
      </w:tr>
    </w:tbl>
    <w:p w14:paraId="0D545DC0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3" w:name="_Toc16061"/>
      <w:r>
        <w:rPr>
          <w:rFonts w:hint="eastAsia" w:ascii="微软雅黑" w:hAnsi="微软雅黑" w:eastAsia="微软雅黑" w:cs="微软雅黑"/>
          <w:sz w:val="24"/>
        </w:rPr>
        <w:t>实验内容安排</w:t>
      </w:r>
      <w:bookmarkEnd w:id="3"/>
    </w:p>
    <w:p w14:paraId="21465E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4" w:name="_Toc13907"/>
      <w:r>
        <w:rPr>
          <w:rFonts w:hint="eastAsia"/>
          <w:b/>
        </w:rPr>
        <w:t xml:space="preserve">实验一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AI经济建模教学平台软件基础技术学习</w:t>
      </w:r>
      <w:bookmarkEnd w:id="4"/>
    </w:p>
    <w:p w14:paraId="119151E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学时）</w:t>
      </w:r>
    </w:p>
    <w:p w14:paraId="662E65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BF557D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（1）了解软件界面布局及基本语法</w:t>
      </w:r>
    </w:p>
    <w:p w14:paraId="5A8E47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（2）了解软件的使用</w:t>
      </w:r>
    </w:p>
    <w:p w14:paraId="11D674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73F3A9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（1）学习软件主界面、设计界面、调试界面</w:t>
      </w:r>
    </w:p>
    <w:p w14:paraId="597E263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（2）学习软件的布局及使用</w:t>
      </w:r>
    </w:p>
    <w:p w14:paraId="1446F1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980915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5" w:name="_Toc767"/>
      <w:r>
        <w:rPr>
          <w:rFonts w:hint="eastAsia"/>
          <w:b/>
        </w:rPr>
        <w:t xml:space="preserve">实验二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双重差分模型（腾笼换鸟的房价效应：以老工业区搬迁改造为例）</w:t>
      </w:r>
      <w:bookmarkEnd w:id="5"/>
    </w:p>
    <w:p w14:paraId="06F720C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3C55DF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3E884C8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B12577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总结双重差分模型建模技巧与论文写作技巧</w:t>
      </w:r>
    </w:p>
    <w:p w14:paraId="4F541EA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395A123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任务1：基准回归结果</w:t>
      </w:r>
    </w:p>
    <w:p w14:paraId="522600A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任务2：房价断点效应实证结果</w:t>
      </w:r>
    </w:p>
    <w:p w14:paraId="6B656BB0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任务3：稳健性检验结果</w:t>
      </w:r>
    </w:p>
    <w:p w14:paraId="3C328AA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任务4：随机抽样结果</w:t>
      </w:r>
    </w:p>
    <w:p w14:paraId="693E4E04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任务5：平行趋势检验结果</w:t>
      </w:r>
    </w:p>
    <w:p w14:paraId="07614346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任务6：空间异质性检验结果</w:t>
      </w:r>
    </w:p>
    <w:p w14:paraId="67447BF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任务7：潜在机制回归结果</w:t>
      </w:r>
    </w:p>
    <w:p w14:paraId="09FB2A9E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任务8：房租效应、挂牌价格变化实证结果</w:t>
      </w:r>
    </w:p>
    <w:p w14:paraId="6DBB2B3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任务9：附录</w:t>
      </w:r>
    </w:p>
    <w:p w14:paraId="1C01B84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647419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6" w:name="_Toc12969"/>
      <w:r>
        <w:rPr>
          <w:rFonts w:hint="eastAsia"/>
          <w:b/>
          <w:lang w:val="en-US" w:eastAsia="zh-CN"/>
        </w:rPr>
        <w:t xml:space="preserve">实验三  </w:t>
      </w:r>
      <w:r>
        <w:rPr>
          <w:rFonts w:hint="eastAsia"/>
          <w:b/>
        </w:rPr>
        <w:t>渐进双重差分模型（制度创新、营商环境与城市创业活力—来自中国自由贸易试验区的证据）</w:t>
      </w:r>
      <w:bookmarkEnd w:id="6"/>
    </w:p>
    <w:p w14:paraId="228969C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7CFF215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069FD22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87AD4E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总结渐进双重差分模型建模技巧与论文写作技巧</w:t>
      </w:r>
    </w:p>
    <w:p w14:paraId="7C0B3B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BAC4AC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研究设计</w:t>
      </w:r>
    </w:p>
    <w:p w14:paraId="06CC20A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房价断点效应实证结果</w:t>
      </w:r>
    </w:p>
    <w:p w14:paraId="3B7A146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实证方法—DIDM方法适用的问题类型</w:t>
      </w:r>
    </w:p>
    <w:p w14:paraId="3E1468F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实证方法—DIDM方法的优点</w:t>
      </w:r>
    </w:p>
    <w:p w14:paraId="1CF32FE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实证方法—是否满足DIDM方法的前提假设？</w:t>
      </w:r>
    </w:p>
    <w:p w14:paraId="1AB94D74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实证结果分析—DIDM方法应做哪些稳健性检验</w:t>
      </w:r>
    </w:p>
    <w:p w14:paraId="2A2FFC7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实证结果分析—调节效应回归</w:t>
      </w:r>
    </w:p>
    <w:p w14:paraId="62C82A5F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实证结果分析—机制分析回归</w:t>
      </w:r>
    </w:p>
    <w:p w14:paraId="21E951C6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异质性分析</w:t>
      </w:r>
    </w:p>
    <w:p w14:paraId="438176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650F66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7" w:name="_Toc4816"/>
      <w:r>
        <w:rPr>
          <w:rFonts w:hint="eastAsia"/>
          <w:b/>
        </w:rPr>
        <w:t>实验</w:t>
      </w: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双向固定效应模型（数字化转型如何影响劳动技能溢价——基于A股上市公司数据的经验研究）</w:t>
      </w:r>
      <w:bookmarkEnd w:id="7"/>
    </w:p>
    <w:p w14:paraId="42BC07F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4F4C1A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FDA811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1126ADC2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总结双向固定效应模型建模技巧与论文写作技巧</w:t>
      </w:r>
    </w:p>
    <w:p w14:paraId="1CFACB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4A07CD5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任务1：劳动技能溢价变动趋势</w:t>
      </w:r>
    </w:p>
    <w:p w14:paraId="269D5421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任务2：要素密集型行业技能溢价的变动趋势</w:t>
      </w:r>
    </w:p>
    <w:p w14:paraId="5603B7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任务3：基本回归结果</w:t>
      </w:r>
    </w:p>
    <w:p w14:paraId="48DE127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任务4：工具变量回归结果</w:t>
      </w:r>
    </w:p>
    <w:p w14:paraId="200992AB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任务5：异质性分析回归结果</w:t>
      </w:r>
    </w:p>
    <w:p w14:paraId="236542B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任务6：机制检验回归结果</w:t>
      </w:r>
    </w:p>
    <w:p w14:paraId="4B05899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任务7：“技能挤出”效应检验回归结果</w:t>
      </w:r>
    </w:p>
    <w:p w14:paraId="23D0F55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任务8：资本—技能互补性的回归结果</w:t>
      </w:r>
    </w:p>
    <w:p w14:paraId="0A0F2726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任务9：主要变量描述性统计</w:t>
      </w:r>
    </w:p>
    <w:p w14:paraId="1415724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任务10：利用可观测变量评估未观测变量的偏差程度</w:t>
      </w:r>
    </w:p>
    <w:p w14:paraId="3A087B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任务11：更换估计方法回归结果</w:t>
      </w:r>
    </w:p>
    <w:p w14:paraId="304E47FC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任务12：更换核心变量回归结果</w:t>
      </w:r>
    </w:p>
    <w:p w14:paraId="26BED42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任务13：排除其他政策性干扰回归结果</w:t>
      </w:r>
    </w:p>
    <w:p w14:paraId="215FB5C7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任务14：排除企业夸大性信息披露影响回归结果</w:t>
      </w:r>
    </w:p>
    <w:p w14:paraId="02DAA2E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任务15：数字化关键词均值统计</w:t>
      </w:r>
    </w:p>
    <w:p w14:paraId="3E3D6A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60540D1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8" w:name="_Toc21595"/>
      <w:r>
        <w:rPr>
          <w:rFonts w:hint="eastAsia"/>
          <w:b/>
          <w:lang w:val="en-US" w:eastAsia="zh-CN"/>
        </w:rPr>
        <w:t>实验五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交叠双重差分模型（产能过剩与环境规制相机选择——基于正式与非正式环境规制视角）</w:t>
      </w:r>
      <w:bookmarkEnd w:id="8"/>
    </w:p>
    <w:p w14:paraId="7816762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7379C72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8F8399F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7FE50AF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总结交叠双重差分模型建模技巧与论文写作技巧</w:t>
      </w:r>
    </w:p>
    <w:p w14:paraId="1CA6212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77CD595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打开并登录平台学习案例相关理论知识</w:t>
      </w:r>
    </w:p>
    <w:p w14:paraId="18516FAE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准备案例相关数据</w:t>
      </w:r>
    </w:p>
    <w:p w14:paraId="2B884144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准备仿写文档</w:t>
      </w:r>
    </w:p>
    <w:p w14:paraId="6C7AB50B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环境规制对企业环境与经济绩效的影响</w:t>
      </w:r>
    </w:p>
    <w:p w14:paraId="7DDCFF4F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产能利用视角下环境规制对企业环境与经济绩效的影响</w:t>
      </w:r>
    </w:p>
    <w:p w14:paraId="512D147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FFF760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9" w:name="_Toc7016"/>
      <w:r>
        <w:rPr>
          <w:rFonts w:hint="eastAsia"/>
          <w:b/>
          <w:lang w:val="en-US" w:eastAsia="zh-CN"/>
        </w:rPr>
        <w:t xml:space="preserve">实验六  </w:t>
      </w:r>
      <w:r>
        <w:rPr>
          <w:rFonts w:hint="eastAsia"/>
          <w:b/>
        </w:rPr>
        <w:t>β收敛模型（共同富裕的测度与驱动机制研究）</w:t>
      </w:r>
      <w:bookmarkEnd w:id="9"/>
    </w:p>
    <w:p w14:paraId="14D660B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B93711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774A1000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6A7360B8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总结β收敛模型建模技巧与论文写作技巧</w:t>
      </w:r>
    </w:p>
    <w:p w14:paraId="3E5B9D2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891A8C7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任务1：各类收入β收敛检验结果</w:t>
      </w:r>
    </w:p>
    <w:p w14:paraId="308DB201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任务2：各类基尼系数β收敛检验结果</w:t>
      </w:r>
    </w:p>
    <w:p w14:paraId="6CB6116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任务3：各类收入分阶段条件β收敛</w:t>
      </w:r>
    </w:p>
    <w:p w14:paraId="1D2A501A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任务4：稳健性检验：地级市层面－各类收入β收敛检验结果</w:t>
      </w:r>
    </w:p>
    <w:p w14:paraId="0FEAD60E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任务5：稳健性检验：调整后基尼系数的检验结果</w:t>
      </w:r>
    </w:p>
    <w:p w14:paraId="65E79D4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任务6：使用CLDS计算的基尼系数的收敛性检验</w:t>
      </w:r>
    </w:p>
    <w:p w14:paraId="32A46DC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任务7：数字普惠金融和传统金融的直接效应</w:t>
      </w:r>
    </w:p>
    <w:p w14:paraId="6C19663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任务8：条件β收敛检验结果</w:t>
      </w:r>
    </w:p>
    <w:p w14:paraId="77F424C6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0D473C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0" w:name="_Toc20005"/>
      <w:r>
        <w:rPr>
          <w:rFonts w:hint="eastAsia"/>
          <w:b/>
          <w:lang w:val="en-US" w:eastAsia="zh-CN"/>
        </w:rPr>
        <w:t>实验七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强度双重差分模型（生产性政府债务与城市创新力—基于中国城市面板数据的经验研究）</w:t>
      </w:r>
      <w:bookmarkEnd w:id="10"/>
    </w:p>
    <w:p w14:paraId="7C0A1CF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565BDA9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7CD9382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FC21D36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总结强度双重差分模型建模技巧与论文写作技巧</w:t>
      </w:r>
    </w:p>
    <w:p w14:paraId="2F2E43C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E3F2ED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任务1：生产性地方政府债务与城市创新力</w:t>
      </w:r>
    </w:p>
    <w:p w14:paraId="0649FA2C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任务2：地方政府债务与城市创新力（IV）</w:t>
      </w:r>
    </w:p>
    <w:p w14:paraId="4971866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任务3：机制检验结果</w:t>
      </w:r>
    </w:p>
    <w:p w14:paraId="58A1395B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任务4：机制检验的进一步分析结果</w:t>
      </w:r>
    </w:p>
    <w:p w14:paraId="3B40B563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任务5：生产性地方政府债务对不同区域城市创新力的影响</w:t>
      </w:r>
    </w:p>
    <w:p w14:paraId="438C4D82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任务6：生产性地方政府债务对城市创新力的影响差异</w:t>
      </w:r>
    </w:p>
    <w:p w14:paraId="7771D4D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任务7:2006—2014 年主要变量统计描述</w:t>
      </w:r>
    </w:p>
    <w:p w14:paraId="613C554C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任务8：更换核心解释变量</w:t>
      </w:r>
    </w:p>
    <w:p w14:paraId="6D959D17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任务9：平行趋势检验</w:t>
      </w:r>
    </w:p>
    <w:p w14:paraId="2246BD90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任务10：随机处理后系数估计值的分布</w:t>
      </w:r>
    </w:p>
    <w:p w14:paraId="65F8FBEA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任务11：排除国家创新型城市的影响</w:t>
      </w:r>
    </w:p>
    <w:p w14:paraId="6F3983F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任务12：更换数据</w:t>
      </w:r>
    </w:p>
    <w:p w14:paraId="6563620B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任务13：被解释变量前置一期</w:t>
      </w:r>
    </w:p>
    <w:p w14:paraId="2C41CB69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任务14：机制分析的稳健性检验（一）</w:t>
      </w:r>
    </w:p>
    <w:p w14:paraId="1EABA824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任务15：机制分析的稳健性检验（二）</w:t>
      </w:r>
    </w:p>
    <w:p w14:paraId="630881F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任务16：机制分析的稳健性检验（三）</w:t>
      </w:r>
    </w:p>
    <w:p w14:paraId="1B99A75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任务17：城投债与城市创新力</w:t>
      </w:r>
    </w:p>
    <w:p w14:paraId="412301F4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任务18：地方政府债与城市创新力</w:t>
      </w:r>
    </w:p>
    <w:p w14:paraId="0336504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FDF01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1" w:name="_Toc23917"/>
      <w:r>
        <w:rPr>
          <w:rFonts w:hint="eastAsia"/>
          <w:b/>
          <w:lang w:val="en-US" w:eastAsia="zh-CN"/>
        </w:rPr>
        <w:t>实验八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面板门槛效应回归模型（“强省会”战略的创新效应研究）</w:t>
      </w:r>
      <w:bookmarkEnd w:id="11"/>
    </w:p>
    <w:p w14:paraId="19C4BD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7373C3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4A01DF38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B1AC599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总结面板门槛效应回归模型建模技巧与论文写作技巧</w:t>
      </w:r>
    </w:p>
    <w:p w14:paraId="10903BE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32CEB2B0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任务1：基础模型回归结果</w:t>
      </w:r>
    </w:p>
    <w:p w14:paraId="7CE58D2C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任务2：工具变量回归结果</w:t>
      </w:r>
    </w:p>
    <w:p w14:paraId="58C3DB1A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任务3：稳健性检验回归结果</w:t>
      </w:r>
    </w:p>
    <w:p w14:paraId="1D49E590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任务4：基于上市公司稳健性检验</w:t>
      </w:r>
    </w:p>
    <w:p w14:paraId="0FAE1696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任务5：异质性检验结果</w:t>
      </w:r>
    </w:p>
    <w:p w14:paraId="3E2008DE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任务6：溢出效应检验结果</w:t>
      </w:r>
    </w:p>
    <w:p w14:paraId="35AD4A03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任务7：门槛数检验</w:t>
      </w:r>
    </w:p>
    <w:p w14:paraId="7576785E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任务8：门槛效应检验结果</w:t>
      </w:r>
    </w:p>
    <w:p w14:paraId="74D1B44A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任务9：调节作用检验结果</w:t>
      </w:r>
    </w:p>
    <w:p w14:paraId="45AADD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0BC3F9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2" w:name="_Toc15244"/>
      <w:r>
        <w:rPr>
          <w:rFonts w:hint="eastAsia"/>
          <w:b/>
          <w:lang w:val="en-US" w:eastAsia="zh-CN"/>
        </w:rPr>
        <w:t>实验九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β收敛模型与空间计量模型（创新集群的“中心—外围结构”：技术互补与经济增长收敛性研究）</w:t>
      </w:r>
      <w:bookmarkEnd w:id="12"/>
    </w:p>
    <w:p w14:paraId="45089C3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65CB0BE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6B4BA38B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61B8B55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总结β收敛模型与空间计量模型建模技巧与论文写作技巧</w:t>
      </w:r>
    </w:p>
    <w:p w14:paraId="1F42F71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7124D25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任务1：互补性技术体系下的β收敛检验结果</w:t>
      </w:r>
    </w:p>
    <w:p w14:paraId="75DB5CCB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任务2：20个创新集群的绝对β收敛检验结果</w:t>
      </w:r>
    </w:p>
    <w:p w14:paraId="0C770D19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任务3：20个创新集群的条件β收敛检验结果</w:t>
      </w:r>
    </w:p>
    <w:p w14:paraId="1F632A14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任务4：竞争性技术体系下的β收敛性检验</w:t>
      </w:r>
    </w:p>
    <w:p w14:paraId="7A1A7F8B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任务5：协同式创新影响创新集群中心—外围技术互补的检验结果</w:t>
      </w:r>
    </w:p>
    <w:p w14:paraId="2FD08C5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5AD1663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3" w:name="_Toc13820"/>
      <w:r>
        <w:rPr>
          <w:rFonts w:hint="eastAsia"/>
          <w:b/>
          <w:lang w:val="en-US" w:eastAsia="zh-CN"/>
        </w:rPr>
        <w:t>实验十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合成控制法（大小城市合并与行政边界地区经济增长：基于机器学习算法的合成控制评估）</w:t>
      </w:r>
      <w:bookmarkEnd w:id="13"/>
    </w:p>
    <w:p w14:paraId="604903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9"/>
        <w:rPr>
          <w:rFonts w:hint="eastAsia"/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  <w:r>
        <w:rPr>
          <w:rFonts w:hint="eastAsia"/>
          <w:b/>
        </w:rPr>
        <w:tab/>
      </w:r>
    </w:p>
    <w:p w14:paraId="51804E6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20CBD114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0639701D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总结合成控制法建模技巧与论文写作技巧</w:t>
      </w:r>
    </w:p>
    <w:p w14:paraId="150DFB2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1EC804FE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任务1：济南莱芜边界地区与其他边界地区的灯光亮度随年分布变化图</w:t>
      </w:r>
    </w:p>
    <w:p w14:paraId="2BE3ABC4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任务2：基准模型结果</w:t>
      </w:r>
    </w:p>
    <w:p w14:paraId="611D2DEC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任务3：更换边界地区度量方式：绝对距离法</w:t>
      </w:r>
    </w:p>
    <w:p w14:paraId="4D386AF7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任务4：更换控制组为全国边界地区</w:t>
      </w:r>
    </w:p>
    <w:p w14:paraId="0694F904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任务5：Lasso算法下的政策效应</w:t>
      </w:r>
    </w:p>
    <w:p w14:paraId="7FBCD65A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任务6：安慰剂检验</w:t>
      </w:r>
    </w:p>
    <w:p w14:paraId="6775AECE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任务7：济南莱芜边界两侧灯光分别合成</w:t>
      </w:r>
    </w:p>
    <w:p w14:paraId="43784B6A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任务8：济南和莱芜中心城区灯光分别合成</w:t>
      </w:r>
    </w:p>
    <w:p w14:paraId="347B8339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任务9：样本外测试：2018年为测试集</w:t>
      </w:r>
    </w:p>
    <w:p w14:paraId="6FB12452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任务10：样本外测试：更换验证集</w:t>
      </w:r>
    </w:p>
    <w:p w14:paraId="4DEA4723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任务11：长春和公主岭边界地区灯光分别合成</w:t>
      </w:r>
    </w:p>
    <w:p w14:paraId="4F3E008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815F1D4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4" w:name="_Toc7734"/>
      <w:r>
        <w:rPr>
          <w:rFonts w:hint="eastAsia" w:ascii="微软雅黑" w:hAnsi="微软雅黑" w:eastAsia="微软雅黑" w:cs="微软雅黑"/>
          <w:sz w:val="24"/>
        </w:rPr>
        <w:t>考核方式、方法及实验成绩评定方法</w:t>
      </w:r>
      <w:bookmarkEnd w:id="14"/>
    </w:p>
    <w:p w14:paraId="7466C0B4">
      <w:pPr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学生个人业绩评分=</w:t>
      </w:r>
      <w:r>
        <w:rPr>
          <w:rFonts w:hint="eastAsia" w:ascii="宋体" w:hAnsi="宋体" w:cs="宋体"/>
          <w:lang w:val="en-US" w:eastAsia="zh-CN"/>
        </w:rPr>
        <w:t>案例操作</w:t>
      </w:r>
      <w:bookmarkStart w:id="17" w:name="_GoBack"/>
      <w:r>
        <w:rPr>
          <w:rFonts w:hint="eastAsia" w:ascii="宋体" w:hAnsi="宋体" w:cs="宋体"/>
          <w:lang w:val="en-US" w:eastAsia="zh-CN"/>
        </w:rPr>
        <w:t>练习</w:t>
      </w:r>
      <w:bookmarkEnd w:id="17"/>
      <w:r>
        <w:rPr>
          <w:rFonts w:hint="eastAsia" w:ascii="宋体" w:hAnsi="宋体" w:cs="宋体"/>
          <w:lang w:val="en-US" w:eastAsia="zh-CN"/>
        </w:rPr>
        <w:t>（90%）</w:t>
      </w:r>
      <w:r>
        <w:rPr>
          <w:rFonts w:hint="eastAsia" w:ascii="宋体" w:hAnsi="宋体" w:cs="宋体"/>
          <w:szCs w:val="21"/>
        </w:rPr>
        <w:t>+平时成绩（10%）</w:t>
      </w:r>
      <w:r>
        <w:rPr>
          <w:rFonts w:hint="eastAsia" w:ascii="宋体" w:hAnsi="宋体" w:cs="宋体"/>
        </w:rPr>
        <w:t>– 缺勤扣分</w:t>
      </w:r>
    </w:p>
    <w:p w14:paraId="32788F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大案例，包括：</w:t>
      </w:r>
    </w:p>
    <w:p w14:paraId="1A24CA1F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C79A213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15405B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0D34110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_Toc21356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交叠双重差分模型（产能过剩与环境规制相机选择—基于正式与非正式环境规制视角）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F58DE9C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9D6CFD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3CC535A6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8512D16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82BAB8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CA6330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以上比例可由老师自行调整</w:t>
      </w:r>
    </w:p>
    <w:p w14:paraId="1F048D2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2、缺勤扣分：病事假/迟到/早退扣2分/次，缺席5分/半天</w:t>
      </w:r>
    </w:p>
    <w:p w14:paraId="48C1B46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</w:pPr>
    </w:p>
    <w:sectPr>
      <w:headerReference r:id="rId10" w:type="first"/>
      <w:footerReference r:id="rId12" w:type="first"/>
      <w:headerReference r:id="rId9" w:type="default"/>
      <w:footerReference r:id="rId11" w:type="default"/>
      <w:pgSz w:w="11906" w:h="16838"/>
      <w:pgMar w:top="1440" w:right="1797" w:bottom="1440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2FDF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3009819">
    <w:pPr>
      <w:pStyle w:val="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561E1">
    <w:pPr>
      <w:pStyle w:val="6"/>
      <w:jc w:val="center"/>
    </w:pPr>
  </w:p>
  <w:p w14:paraId="745846B5">
    <w:pPr>
      <w:pStyle w:val="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412BF">
    <w:pPr>
      <w:pStyle w:val="6"/>
      <w:tabs>
        <w:tab w:val="left" w:pos="4701"/>
        <w:tab w:val="clear" w:pos="4153"/>
      </w:tabs>
    </w:pP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7E951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55F96E">
                          <w:pPr>
                            <w:pStyle w:val="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55F96E">
                    <w:pPr>
                      <w:pStyle w:val="6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D7BA217">
    <w:pPr>
      <w:pStyle w:val="6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92FA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D53A2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D53A2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2586F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版权所有：成都杰科力科技有限公司  官方网址：www.jiecl.com  微信公众号-云班课  TEL:028-81711073</w:t>
    </w:r>
  </w:p>
  <w:p w14:paraId="0E7BC609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成都杰科力科技有限公司自研产品，侵权必究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80CDD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5A1BF">
    <w:pPr>
      <w:pStyle w:val="7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8DC5">
    <w:pPr>
      <w:pStyle w:val="7"/>
      <w:rPr>
        <w:rFonts w:hint="eastAsia"/>
      </w:rPr>
    </w:pPr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8" name="图片 4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6A5F0">
    <w:pPr>
      <w:pStyle w:val="7"/>
    </w:pPr>
    <w:bookmarkStart w:id="15" w:name="_Hlk178243777"/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5" name="图片 3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5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4A26A"/>
    <w:multiLevelType w:val="singleLevel"/>
    <w:tmpl w:val="88B4A26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AE474AAF"/>
    <w:multiLevelType w:val="singleLevel"/>
    <w:tmpl w:val="AE474AA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F334FF4"/>
    <w:multiLevelType w:val="singleLevel"/>
    <w:tmpl w:val="AF334FF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26CC70F"/>
    <w:multiLevelType w:val="singleLevel"/>
    <w:tmpl w:val="B26CC70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B7930497"/>
    <w:multiLevelType w:val="singleLevel"/>
    <w:tmpl w:val="B793049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DD04327"/>
    <w:multiLevelType w:val="singleLevel"/>
    <w:tmpl w:val="BDD0432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C9C2033F"/>
    <w:multiLevelType w:val="singleLevel"/>
    <w:tmpl w:val="C9C2033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CE67A7C5"/>
    <w:multiLevelType w:val="singleLevel"/>
    <w:tmpl w:val="CE67A7C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4D7FB60"/>
    <w:multiLevelType w:val="singleLevel"/>
    <w:tmpl w:val="D4D7FB6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41AE9A5"/>
    <w:multiLevelType w:val="singleLevel"/>
    <w:tmpl w:val="E41AE9A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F9717EC"/>
    <w:multiLevelType w:val="singleLevel"/>
    <w:tmpl w:val="EF9717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F9408D1B"/>
    <w:multiLevelType w:val="singleLevel"/>
    <w:tmpl w:val="F9408D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FBD9D5DE"/>
    <w:multiLevelType w:val="singleLevel"/>
    <w:tmpl w:val="FBD9D5DE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0430EA33"/>
    <w:multiLevelType w:val="singleLevel"/>
    <w:tmpl w:val="0430EA3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0BB3823B"/>
    <w:multiLevelType w:val="singleLevel"/>
    <w:tmpl w:val="0BB3823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0F98A456"/>
    <w:multiLevelType w:val="singleLevel"/>
    <w:tmpl w:val="0F98A45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1775E125"/>
    <w:multiLevelType w:val="singleLevel"/>
    <w:tmpl w:val="1775E12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44DA5FDA"/>
    <w:multiLevelType w:val="singleLevel"/>
    <w:tmpl w:val="44DA5FD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4FC6389F"/>
    <w:multiLevelType w:val="singleLevel"/>
    <w:tmpl w:val="4FC638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6382E7A7"/>
    <w:multiLevelType w:val="multilevel"/>
    <w:tmpl w:val="6382E7A7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20">
    <w:nsid w:val="690C0386"/>
    <w:multiLevelType w:val="singleLevel"/>
    <w:tmpl w:val="690C038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6E1257F6"/>
    <w:multiLevelType w:val="singleLevel"/>
    <w:tmpl w:val="6E1257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>
    <w:nsid w:val="7B16F184"/>
    <w:multiLevelType w:val="singleLevel"/>
    <w:tmpl w:val="7B16F18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7B5EFE9F"/>
    <w:multiLevelType w:val="singleLevel"/>
    <w:tmpl w:val="7B5EFE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13"/>
  </w:num>
  <w:num w:numId="5">
    <w:abstractNumId w:val="23"/>
  </w:num>
  <w:num w:numId="6">
    <w:abstractNumId w:val="22"/>
  </w:num>
  <w:num w:numId="7">
    <w:abstractNumId w:val="8"/>
  </w:num>
  <w:num w:numId="8">
    <w:abstractNumId w:val="0"/>
  </w:num>
  <w:num w:numId="9">
    <w:abstractNumId w:val="7"/>
  </w:num>
  <w:num w:numId="10">
    <w:abstractNumId w:val="14"/>
  </w:num>
  <w:num w:numId="11">
    <w:abstractNumId w:val="10"/>
  </w:num>
  <w:num w:numId="12">
    <w:abstractNumId w:val="3"/>
  </w:num>
  <w:num w:numId="13">
    <w:abstractNumId w:val="2"/>
  </w:num>
  <w:num w:numId="14">
    <w:abstractNumId w:val="9"/>
  </w:num>
  <w:num w:numId="15">
    <w:abstractNumId w:val="18"/>
  </w:num>
  <w:num w:numId="16">
    <w:abstractNumId w:val="16"/>
  </w:num>
  <w:num w:numId="17">
    <w:abstractNumId w:val="11"/>
  </w:num>
  <w:num w:numId="18">
    <w:abstractNumId w:val="17"/>
  </w:num>
  <w:num w:numId="19">
    <w:abstractNumId w:val="21"/>
  </w:num>
  <w:num w:numId="20">
    <w:abstractNumId w:val="15"/>
  </w:num>
  <w:num w:numId="21">
    <w:abstractNumId w:val="5"/>
  </w:num>
  <w:num w:numId="22">
    <w:abstractNumId w:val="4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47363"/>
    <w:rsid w:val="0C1B55AE"/>
    <w:rsid w:val="12865C3B"/>
    <w:rsid w:val="189D3A78"/>
    <w:rsid w:val="39E707E2"/>
    <w:rsid w:val="57F16C7F"/>
    <w:rsid w:val="59E36A9C"/>
    <w:rsid w:val="61D56785"/>
    <w:rsid w:val="6A047363"/>
    <w:rsid w:val="7BF3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firstLine="400"/>
      <w:outlineLvl w:val="0"/>
    </w:pPr>
    <w:rPr>
      <w:rFonts w:eastAsia="宋体"/>
      <w:b/>
      <w:kern w:val="44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2"/>
      <w:lang w:val="en-US" w:eastAsia="zh-CN" w:bidi="ar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5837</Words>
  <Characters>5955</Characters>
  <Lines>0</Lines>
  <Paragraphs>0</Paragraphs>
  <TotalTime>1</TotalTime>
  <ScaleCrop>false</ScaleCrop>
  <LinksUpToDate>false</LinksUpToDate>
  <CharactersWithSpaces>6184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2025-02-12T09:20:00Z</dcterms:created>
  <dc:creator>肥嘟好肥</dc:creator>
  <cp:lastModifiedBy>王先帅</cp:lastModifiedBy>
  <dcterms:modified xsi:type="dcterms:W3CDTF">2025-05-29T09:44:05Z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6D662197CAAB440D8A2A74D3A84BA691_11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