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DDD0867">
      <w:pPr>
        <w:pageBreakBefore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sz w:val="72"/>
          <w:szCs w:val="72"/>
        </w:rPr>
      </w:pPr>
    </w:p>
    <w:p w14:paraId="7FE1067F">
      <w:pPr>
        <w:pageBreakBefore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sz w:val="72"/>
          <w:szCs w:val="72"/>
        </w:rPr>
      </w:pPr>
      <w:r>
        <w:rPr>
          <w:rFonts w:hint="eastAsia" w:ascii="宋体" w:hAnsi="宋体" w:eastAsia="宋体" w:cs="宋体"/>
          <w:b/>
          <w:bCs/>
          <w:color w:val="7E7E7E"/>
          <w:sz w:val="60"/>
          <w:szCs w:val="60"/>
        </w:rPr>
        <mc:AlternateContent>
          <mc:Choice Requires="wps">
            <w:drawing>
              <wp:anchor distT="0" distB="0" distL="114300" distR="114300" simplePos="0" relativeHeight="251659264" behindDoc="0" locked="0" layoutInCell="1" allowOverlap="1">
                <wp:simplePos x="0" y="0"/>
                <wp:positionH relativeFrom="column">
                  <wp:posOffset>-445135</wp:posOffset>
                </wp:positionH>
                <wp:positionV relativeFrom="page">
                  <wp:posOffset>1987550</wp:posOffset>
                </wp:positionV>
                <wp:extent cx="6280785" cy="1856105"/>
                <wp:effectExtent l="0" t="0" r="0" b="0"/>
                <wp:wrapNone/>
                <wp:docPr id="1150177230" name="文本框 9"/>
                <wp:cNvGraphicFramePr/>
                <a:graphic xmlns:a="http://schemas.openxmlformats.org/drawingml/2006/main">
                  <a:graphicData uri="http://schemas.microsoft.com/office/word/2010/wordprocessingShape">
                    <wps:wsp>
                      <wps:cNvSpPr txBox="1"/>
                      <wps:spPr>
                        <a:xfrm>
                          <a:off x="0" y="0"/>
                          <a:ext cx="6280785" cy="1856105"/>
                        </a:xfrm>
                        <a:prstGeom prst="rect">
                          <a:avLst/>
                        </a:prstGeom>
                        <a:noFill/>
                        <a:ln>
                          <a:noFill/>
                        </a:ln>
                      </wps:spPr>
                      <wps:txbx>
                        <w:txbxContent>
                          <w:p w14:paraId="0A733057">
                            <w:pPr>
                              <w:ind w:firstLine="0" w:firstLineChars="0"/>
                              <w:jc w:val="center"/>
                              <w:rPr>
                                <w:rFonts w:hint="eastAsia" w:ascii="微软雅黑" w:hAnsi="微软雅黑" w:eastAsia="微软雅黑" w:cs="微软雅黑"/>
                                <w:b/>
                                <w:bCs/>
                                <w:sz w:val="96"/>
                                <w:szCs w:val="96"/>
                                <w:lang w:eastAsia="zh-CN"/>
                              </w:rPr>
                            </w:pPr>
                            <w:r>
                              <w:rPr>
                                <w:rFonts w:hint="eastAsia" w:ascii="微软雅黑" w:hAnsi="微软雅黑" w:eastAsia="微软雅黑" w:cs="微软雅黑"/>
                                <w:b/>
                                <w:bCs/>
                                <w:color w:val="FF0000"/>
                                <w:sz w:val="96"/>
                                <w:szCs w:val="96"/>
                                <w:lang w:eastAsia="zh-CN"/>
                              </w:rPr>
                              <w:t>AI金融计量教学平台</w:t>
                            </w:r>
                          </w:p>
                        </w:txbxContent>
                      </wps:txbx>
                      <wps:bodyPr upright="1"/>
                    </wps:wsp>
                  </a:graphicData>
                </a:graphic>
              </wp:anchor>
            </w:drawing>
          </mc:Choice>
          <mc:Fallback>
            <w:pict>
              <v:shape id="文本框 9" o:spid="_x0000_s1026" o:spt="202" type="#_x0000_t202" style="position:absolute;left:0pt;margin-left:-35.05pt;margin-top:156.5pt;height:146.15pt;width:494.55pt;mso-position-vertical-relative:page;z-index:251659264;mso-width-relative:page;mso-height-relative:page;" filled="f" stroked="f" coordsize="21600,21600" o:gfxdata="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">
                <v:fill on="f" focussize="0,0"/>
                <v:stroke on="f"/>
                <v:imagedata o:title=""/>
                <o:lock v:ext="edit" aspectratio="f"/>
                <v:textbox>
                  <w:txbxContent>
                    <w:p w14:paraId="0A733057">
                      <w:pPr>
                        <w:ind w:firstLine="0" w:firstLineChars="0"/>
                        <w:jc w:val="center"/>
                        <w:rPr>
                          <w:rFonts w:hint="eastAsia" w:ascii="微软雅黑" w:hAnsi="微软雅黑" w:eastAsia="微软雅黑" w:cs="微软雅黑"/>
                          <w:b/>
                          <w:bCs/>
                          <w:sz w:val="96"/>
                          <w:szCs w:val="96"/>
                          <w:lang w:eastAsia="zh-CN"/>
                        </w:rPr>
                      </w:pPr>
                      <w:r>
                        <w:rPr>
                          <w:rFonts w:hint="eastAsia" w:ascii="微软雅黑" w:hAnsi="微软雅黑" w:eastAsia="微软雅黑" w:cs="微软雅黑"/>
                          <w:b/>
                          <w:bCs/>
                          <w:color w:val="FF0000"/>
                          <w:sz w:val="96"/>
                          <w:szCs w:val="96"/>
                          <w:lang w:eastAsia="zh-CN"/>
                        </w:rPr>
                        <w:t>AI金融计量教学平台</w:t>
                      </w:r>
                    </w:p>
                  </w:txbxContent>
                </v:textbox>
              </v:shape>
            </w:pict>
          </mc:Fallback>
        </mc:AlternateContent>
      </w:r>
    </w:p>
    <w:p w14:paraId="04E6BDD7">
      <w:pPr>
        <w:pageBreakBefore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sz w:val="72"/>
          <w:szCs w:val="72"/>
        </w:rPr>
      </w:pPr>
    </w:p>
    <w:p w14:paraId="698153DF">
      <w:pPr>
        <w:pageBreakBefore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b/>
          <w:bCs/>
          <w:sz w:val="52"/>
          <w:szCs w:val="52"/>
        </w:rPr>
      </w:pPr>
    </w:p>
    <w:p w14:paraId="33C1DCAE">
      <w:pPr>
        <w:pageBreakBefore w:val="0"/>
        <w:kinsoku/>
        <w:wordWrap/>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b/>
          <w:bCs/>
          <w:sz w:val="52"/>
          <w:szCs w:val="52"/>
        </w:rPr>
      </w:pPr>
    </w:p>
    <w:p w14:paraId="3A609ADD">
      <w:pPr>
        <w:pageBreakBefore w:val="0"/>
        <w:kinsoku/>
        <w:wordWrap/>
        <w:overflowPunct/>
        <w:topLinePunct w:val="0"/>
        <w:autoSpaceDE/>
        <w:autoSpaceDN/>
        <w:bidi w:val="0"/>
        <w:adjustRightInd w:val="0"/>
        <w:snapToGrid w:val="0"/>
        <w:spacing w:line="360" w:lineRule="auto"/>
        <w:ind w:firstLine="0" w:firstLineChars="0"/>
        <w:jc w:val="right"/>
        <w:textAlignment w:val="auto"/>
        <w:rPr>
          <w:rFonts w:hint="eastAsia" w:ascii="宋体" w:hAnsi="宋体" w:eastAsia="宋体" w:cs="宋体"/>
          <w:b/>
          <w:bCs/>
          <w:color w:val="7E7E7E"/>
          <w:sz w:val="60"/>
          <w:szCs w:val="60"/>
        </w:rPr>
      </w:pPr>
      <w:r>
        <w:rPr>
          <w:rFonts w:hint="eastAsia" w:ascii="宋体" w:hAnsi="宋体" w:eastAsia="宋体" w:cs="宋体"/>
          <w:b/>
          <w:bCs/>
          <w:color w:val="7E7E7E"/>
          <w:sz w:val="60"/>
          <w:szCs w:val="60"/>
        </w:rPr>
        <w:t>——实训方案</w:t>
      </w:r>
    </w:p>
    <w:p w14:paraId="19B800AA">
      <w:pPr>
        <w:pageBreakBefore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b/>
          <w:bCs/>
          <w:sz w:val="48"/>
          <w:szCs w:val="48"/>
        </w:rPr>
      </w:pPr>
    </w:p>
    <w:p w14:paraId="151AA24D">
      <w:pPr>
        <w:pStyle w:val="23"/>
        <w:pageBreakBefore w:val="0"/>
        <w:kinsoku/>
        <w:wordWrap/>
        <w:overflowPunct/>
        <w:topLinePunct w:val="0"/>
        <w:autoSpaceDE/>
        <w:autoSpaceDN/>
        <w:bidi w:val="0"/>
        <w:adjustRightInd w:val="0"/>
        <w:snapToGrid w:val="0"/>
        <w:spacing w:after="0" w:line="360" w:lineRule="auto"/>
        <w:ind w:left="0" w:leftChars="0" w:firstLine="0" w:firstLineChars="0"/>
        <w:textAlignment w:val="auto"/>
        <w:rPr>
          <w:rFonts w:hint="eastAsia" w:ascii="宋体" w:hAnsi="宋体" w:eastAsia="宋体" w:cs="宋体"/>
        </w:rPr>
      </w:pPr>
      <w:r>
        <w:drawing>
          <wp:anchor distT="0" distB="0" distL="114300" distR="114300" simplePos="0" relativeHeight="251661312" behindDoc="0" locked="0" layoutInCell="1" allowOverlap="1">
            <wp:simplePos x="0" y="0"/>
            <wp:positionH relativeFrom="column">
              <wp:posOffset>573405</wp:posOffset>
            </wp:positionH>
            <wp:positionV relativeFrom="paragraph">
              <wp:posOffset>29210</wp:posOffset>
            </wp:positionV>
            <wp:extent cx="1431290" cy="1661795"/>
            <wp:effectExtent l="0" t="0" r="1270" b="14605"/>
            <wp:wrapSquare wrapText="bothSides"/>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5"/>
                    <a:stretch>
                      <a:fillRect/>
                    </a:stretch>
                  </pic:blipFill>
                  <pic:spPr>
                    <a:xfrm>
                      <a:off x="0" y="0"/>
                      <a:ext cx="1431290" cy="1661795"/>
                    </a:xfrm>
                    <a:prstGeom prst="rect">
                      <a:avLst/>
                    </a:prstGeom>
                    <a:noFill/>
                    <a:ln>
                      <a:noFill/>
                    </a:ln>
                  </pic:spPr>
                </pic:pic>
              </a:graphicData>
            </a:graphic>
          </wp:anchor>
        </w:drawing>
      </w:r>
      <w:r>
        <w:rPr>
          <w:rFonts w:hint="eastAsia" w:ascii="宋体" w:hAnsi="宋体" w:eastAsia="宋体" w:cs="宋体"/>
          <w:sz w:val="48"/>
        </w:rPr>
        <mc:AlternateContent>
          <mc:Choice Requires="wpg">
            <w:drawing>
              <wp:anchor distT="0" distB="0" distL="114300" distR="114300" simplePos="0" relativeHeight="251660288" behindDoc="0" locked="0" layoutInCell="1" allowOverlap="1">
                <wp:simplePos x="0" y="0"/>
                <wp:positionH relativeFrom="column">
                  <wp:posOffset>3187065</wp:posOffset>
                </wp:positionH>
                <wp:positionV relativeFrom="paragraph">
                  <wp:posOffset>66040</wp:posOffset>
                </wp:positionV>
                <wp:extent cx="1428750" cy="1725930"/>
                <wp:effectExtent l="0" t="0" r="2540" b="0"/>
                <wp:wrapNone/>
                <wp:docPr id="858846661" name="组合 10"/>
                <wp:cNvGraphicFramePr/>
                <a:graphic xmlns:a="http://schemas.openxmlformats.org/drawingml/2006/main">
                  <a:graphicData uri="http://schemas.microsoft.com/office/word/2010/wordprocessingGroup">
                    <wpg:wgp>
                      <wpg:cNvGrpSpPr/>
                      <wpg:grpSpPr>
                        <a:xfrm>
                          <a:off x="0" y="0"/>
                          <a:ext cx="1428750" cy="1725930"/>
                          <a:chOff x="13106" y="10707"/>
                          <a:chExt cx="2250" cy="2718"/>
                        </a:xfrm>
                      </wpg:grpSpPr>
                      <pic:pic xmlns:pic="http://schemas.openxmlformats.org/drawingml/2006/picture">
                        <pic:nvPicPr>
                          <pic:cNvPr id="113409678" name="图片 7" descr="简介视频-金融大数据自动化机器人实验系统"/>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13242" y="10707"/>
                            <a:ext cx="2084" cy="2084"/>
                          </a:xfrm>
                          <a:prstGeom prst="rect">
                            <a:avLst/>
                          </a:prstGeom>
                          <a:noFill/>
                          <a:ln>
                            <a:noFill/>
                          </a:ln>
                          <a:effectLst/>
                        </pic:spPr>
                      </pic:pic>
                      <wps:wsp>
                        <wps:cNvPr id="1727803557" name="文本框 8"/>
                        <wps:cNvSpPr txBox="1">
                          <a:spLocks noChangeArrowheads="1"/>
                        </wps:cNvSpPr>
                        <wps:spPr bwMode="auto">
                          <a:xfrm>
                            <a:off x="13106" y="12731"/>
                            <a:ext cx="2250" cy="694"/>
                          </a:xfrm>
                          <a:prstGeom prst="rect">
                            <a:avLst/>
                          </a:prstGeom>
                          <a:noFill/>
                          <a:ln>
                            <a:noFill/>
                          </a:ln>
                          <a:effectLst/>
                        </wps:spPr>
                        <wps:txbx>
                          <w:txbxContent>
                            <w:p w14:paraId="69DBEB33">
                              <w:pPr>
                                <w:ind w:firstLine="420"/>
                                <w:rPr>
                                  <w:rFonts w:hint="eastAsia" w:ascii="微软雅黑" w:hAnsi="微软雅黑" w:eastAsia="微软雅黑" w:cs="微软雅黑"/>
                                  <w:b/>
                                  <w:bCs/>
                                  <w:sz w:val="21"/>
                                  <w:szCs w:val="21"/>
                                </w:rPr>
                              </w:pPr>
                              <w:r>
                                <w:rPr>
                                  <w:rFonts w:hint="eastAsia" w:ascii="微软雅黑" w:hAnsi="微软雅黑" w:eastAsia="微软雅黑" w:cs="微软雅黑"/>
                                  <w:b/>
                                  <w:bCs/>
                                  <w:sz w:val="21"/>
                                  <w:szCs w:val="21"/>
                                </w:rPr>
                                <w:t>观看视频</w:t>
                              </w:r>
                            </w:p>
                          </w:txbxContent>
                        </wps:txbx>
                        <wps:bodyPr rot="0" vert="horz" wrap="square" lIns="91440" tIns="45720" rIns="91440" bIns="45720" anchor="t" anchorCtr="0" upright="1">
                          <a:noAutofit/>
                        </wps:bodyPr>
                      </wps:wsp>
                    </wpg:wgp>
                  </a:graphicData>
                </a:graphic>
              </wp:anchor>
            </w:drawing>
          </mc:Choice>
          <mc:Fallback>
            <w:pict>
              <v:group id="组合 10" o:spid="_x0000_s1026" o:spt="203" style="position:absolute;left:0pt;margin-left:250.95pt;margin-top:5.2pt;height:135.9pt;width:112.5pt;z-index:251660288;mso-width-relative:page;mso-height-relative:page;" coordorigin="13106,10707" coordsize="2250,2718" o:gfxdata="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CqJg6+tgAAACEBAAAZAAAAZHJzL19y&#10;ZWxzL2Uyb0RvYy54bWwucmVsc4WPQWrDMBBF94XcQcw+lp1FKMWyN6HgbUgOMEhjWcQaCUkt9e0j&#10;yCaBQJfzP/89ph///Cp+KWUXWEHXtCCIdTCOrYLr5Xv/CSIXZINrYFKwUYZx2H30Z1qx1FFeXMyi&#10;UjgrWEqJX1JmvZDH3IRIXJs5JI+lnsnKiPqGluShbY8yPTNgeGGKyShIk+lAXLZYzf+zwzw7Taeg&#10;fzxxeaOQzld3BWKyVBR4Mg4fYddEtiCHXr48NtwB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">
                <o:lock v:ext="edit" aspectratio="f"/>
                <v:shape id="图片 7" o:spid="_x0000_s1026" o:spt="75" alt="简介视频-金融大数据自动化机器人实验系统" type="#_x0000_t75" style="position:absolute;left:13242;top:10707;height:2084;width:2084;" filled="f" o:preferrelative="t" stroked="f" coordsize="21600,21600" o:gfxdata="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PD&#10;2ifCAAAA4gAAAA8AAAAAAAAAAQAgAAAAIgAAAGRycy9kb3ducmV2LnhtbFBLAQIUABQAAAAIAIdO&#10;4kAzLwWeOwAAADkAAAAQAAAAAAAAAAEAIAAAABEBAABkcnMvc2hhcGV4bWwueG1sUEsFBgAAAAAG&#10;AAYAWwEAALsDAAAAAA==&#10;">
                  <v:fill on="f" focussize="0,0"/>
                  <v:stroke on="f"/>
                  <v:imagedata r:id="rId16" o:title=""/>
                  <o:lock v:ext="edit" aspectratio="t"/>
                </v:shape>
                <v:shape id="文本框 8" o:spid="_x0000_s1026" o:spt="202" type="#_x0000_t202" style="position:absolute;left:13106;top:12731;height:694;width:2250;" filled="f" stroked="f" coordsize="21600,21600" o:gfxdata="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CMLL9&#10;wAAAAOMAAAAPAAAAAAAAAAEAIAAAACIAAABkcnMvZG93bnJldi54bWxQSwECFAAUAAAACACHTuJA&#10;My8FnjsAAAA5AAAAEAAAAAAAAAABACAAAAAPAQAAZHJzL3NoYXBleG1sLnhtbFBLBQYAAAAABgAG&#10;AFsBAAC5AwAAAAA=&#10;">
                  <v:fill on="f" focussize="0,0"/>
                  <v:stroke on="f"/>
                  <v:imagedata o:title=""/>
                  <o:lock v:ext="edit" aspectratio="f"/>
                  <v:textbox>
                    <w:txbxContent>
                      <w:p w14:paraId="69DBEB33">
                        <w:pPr>
                          <w:ind w:firstLine="420"/>
                          <w:rPr>
                            <w:rFonts w:hint="eastAsia" w:ascii="微软雅黑" w:hAnsi="微软雅黑" w:eastAsia="微软雅黑" w:cs="微软雅黑"/>
                            <w:b/>
                            <w:bCs/>
                            <w:sz w:val="21"/>
                            <w:szCs w:val="21"/>
                          </w:rPr>
                        </w:pPr>
                        <w:r>
                          <w:rPr>
                            <w:rFonts w:hint="eastAsia" w:ascii="微软雅黑" w:hAnsi="微软雅黑" w:eastAsia="微软雅黑" w:cs="微软雅黑"/>
                            <w:b/>
                            <w:bCs/>
                            <w:sz w:val="21"/>
                            <w:szCs w:val="21"/>
                          </w:rPr>
                          <w:t>观看视频</w:t>
                        </w:r>
                      </w:p>
                    </w:txbxContent>
                  </v:textbox>
                </v:shape>
              </v:group>
            </w:pict>
          </mc:Fallback>
        </mc:AlternateContent>
      </w:r>
    </w:p>
    <w:p w14:paraId="73F167B0">
      <w:pPr>
        <w:pStyle w:val="23"/>
        <w:pageBreakBefore w:val="0"/>
        <w:kinsoku/>
        <w:wordWrap/>
        <w:overflowPunct/>
        <w:topLinePunct w:val="0"/>
        <w:autoSpaceDE/>
        <w:autoSpaceDN/>
        <w:bidi w:val="0"/>
        <w:adjustRightInd w:val="0"/>
        <w:snapToGrid w:val="0"/>
        <w:spacing w:after="0" w:line="360" w:lineRule="auto"/>
        <w:ind w:left="0" w:leftChars="0" w:firstLine="0" w:firstLineChars="0"/>
        <w:textAlignment w:val="auto"/>
        <w:rPr>
          <w:rFonts w:hint="eastAsia" w:ascii="宋体" w:hAnsi="宋体" w:eastAsia="宋体" w:cs="宋体"/>
        </w:rPr>
      </w:pPr>
    </w:p>
    <w:p w14:paraId="6A766771">
      <w:pPr>
        <w:pageBreakBefore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b/>
          <w:bCs/>
          <w:sz w:val="48"/>
          <w:szCs w:val="48"/>
        </w:rPr>
      </w:pPr>
    </w:p>
    <w:p w14:paraId="6057D878">
      <w:pPr>
        <w:pageBreakBefore w:val="0"/>
        <w:kinsoku/>
        <w:wordWrap/>
        <w:overflowPunct/>
        <w:topLinePunct w:val="0"/>
        <w:autoSpaceDE/>
        <w:autoSpaceDN/>
        <w:bidi w:val="0"/>
        <w:adjustRightInd w:val="0"/>
        <w:snapToGrid w:val="0"/>
        <w:spacing w:line="360" w:lineRule="auto"/>
        <w:ind w:firstLine="560"/>
        <w:textAlignment w:val="auto"/>
        <w:rPr>
          <w:rFonts w:hint="eastAsia" w:ascii="宋体" w:hAnsi="宋体" w:eastAsia="宋体" w:cs="宋体"/>
        </w:rPr>
      </w:pPr>
      <w:r>
        <w:rPr>
          <w:rFonts w:hint="eastAsia" w:ascii="宋体" w:hAnsi="宋体" w:eastAsia="宋体" w:cs="宋体"/>
        </w:rPr>
        <w:t xml:space="preserve">         </w:t>
      </w:r>
    </w:p>
    <w:p w14:paraId="323911F0">
      <w:pPr>
        <w:pageBreakBefore w:val="0"/>
        <w:kinsoku/>
        <w:wordWrap/>
        <w:overflowPunct/>
        <w:topLinePunct w:val="0"/>
        <w:autoSpaceDE/>
        <w:autoSpaceDN/>
        <w:bidi w:val="0"/>
        <w:adjustRightInd w:val="0"/>
        <w:snapToGrid w:val="0"/>
        <w:spacing w:line="360" w:lineRule="auto"/>
        <w:ind w:firstLine="560"/>
        <w:jc w:val="center"/>
        <w:textAlignment w:val="auto"/>
        <w:rPr>
          <w:rFonts w:hint="eastAsia" w:ascii="宋体" w:hAnsi="宋体" w:eastAsia="宋体" w:cs="宋体"/>
        </w:rPr>
      </w:pPr>
      <w:bookmarkStart w:id="56" w:name="_GoBack"/>
      <w:bookmarkEnd w:id="56"/>
    </w:p>
    <w:p w14:paraId="78D83819">
      <w:pPr>
        <w:pageBreakBefore w:val="0"/>
        <w:kinsoku/>
        <w:wordWrap/>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rPr>
      </w:pPr>
    </w:p>
    <w:p w14:paraId="43D85688">
      <w:pPr>
        <w:pageBreakBefore w:val="0"/>
        <w:kinsoku/>
        <w:wordWrap/>
        <w:overflowPunct/>
        <w:topLinePunct w:val="0"/>
        <w:autoSpaceDE/>
        <w:autoSpaceDN/>
        <w:bidi w:val="0"/>
        <w:adjustRightInd w:val="0"/>
        <w:snapToGrid w:val="0"/>
        <w:spacing w:line="360" w:lineRule="auto"/>
        <w:ind w:firstLine="560"/>
        <w:jc w:val="center"/>
        <w:textAlignment w:val="auto"/>
        <w:rPr>
          <w:rFonts w:hint="eastAsia" w:ascii="宋体" w:hAnsi="宋体" w:eastAsia="宋体" w:cs="宋体"/>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720" w:num="1"/>
          <w:titlePg/>
          <w:docGrid w:type="lines" w:linePitch="312" w:charSpace="0"/>
        </w:sectPr>
      </w:pPr>
      <w:bookmarkStart w:id="0" w:name="_Hlk178243754"/>
      <w:r>
        <w:rPr>
          <w:rFonts w:hint="eastAsia" w:ascii="宋体" w:hAnsi="宋体" w:eastAsia="宋体" w:cs="宋体"/>
        </w:rPr>
        <w:drawing>
          <wp:inline distT="0" distB="0" distL="0" distR="0">
            <wp:extent cx="2258695" cy="402590"/>
            <wp:effectExtent l="0" t="0" r="12065" b="8890"/>
            <wp:docPr id="130444892" name="图片 5" descr="logo黑色文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44892" name="图片 5" descr="logo黑色文字"/>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258695" cy="402590"/>
                    </a:xfrm>
                    <a:prstGeom prst="rect">
                      <a:avLst/>
                    </a:prstGeom>
                    <a:noFill/>
                    <a:ln>
                      <a:noFill/>
                    </a:ln>
                  </pic:spPr>
                </pic:pic>
              </a:graphicData>
            </a:graphic>
          </wp:inline>
        </w:drawing>
      </w:r>
      <w:bookmarkEnd w:id="0"/>
    </w:p>
    <w:sdt>
      <w:sdtPr>
        <w:rPr>
          <w:rFonts w:ascii="宋体" w:hAnsi="宋体" w:eastAsia="宋体" w:cs="Times New Roman"/>
          <w:kern w:val="2"/>
          <w:sz w:val="21"/>
          <w:szCs w:val="24"/>
          <w:lang w:val="en-US" w:eastAsia="zh-CN" w:bidi="ar-SA"/>
        </w:rPr>
        <w:id w:val="147453612"/>
        <w15:color w:val="DBDBDB"/>
        <w:docPartObj>
          <w:docPartGallery w:val="Table of Contents"/>
          <w:docPartUnique/>
        </w:docPartObj>
      </w:sdtPr>
      <w:sdtEndPr>
        <w:rPr>
          <w:rFonts w:hint="eastAsia" w:ascii="宋体" w:hAnsi="宋体" w:eastAsia="宋体" w:cs="宋体"/>
          <w:kern w:val="2"/>
          <w:sz w:val="28"/>
          <w:szCs w:val="24"/>
          <w:lang w:val="en-US" w:eastAsia="zh-CN" w:bidi="ar-SA"/>
        </w:rPr>
      </w:sdtEndPr>
      <w:sdtContent>
        <w:p w14:paraId="3C7AD8F8">
          <w:pPr>
            <w:pageBreakBefore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b/>
              <w:bCs/>
              <w:szCs w:val="28"/>
            </w:rPr>
          </w:pPr>
          <w:r>
            <w:rPr>
              <w:rFonts w:hint="eastAsia" w:ascii="宋体" w:hAnsi="宋体" w:eastAsia="宋体" w:cs="宋体"/>
              <w:b/>
              <w:bCs/>
              <w:szCs w:val="28"/>
            </w:rPr>
            <w:t>目录</w:t>
          </w:r>
        </w:p>
        <w:p w14:paraId="19D851F7">
          <w:pPr>
            <w:pStyle w:val="29"/>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TOC \o "1-3" \h \u </w:instrText>
          </w:r>
          <w:r>
            <w:rPr>
              <w:rFonts w:hint="eastAsia" w:ascii="宋体" w:hAnsi="宋体" w:eastAsia="宋体" w:cs="宋体"/>
            </w:rPr>
            <w:fldChar w:fldCharType="separate"/>
          </w:r>
          <w:r>
            <w:rPr>
              <w:rFonts w:hint="eastAsia" w:ascii="宋体" w:hAnsi="宋体" w:eastAsia="宋体" w:cs="宋体"/>
            </w:rPr>
            <w:fldChar w:fldCharType="begin"/>
          </w:r>
          <w:r>
            <w:rPr>
              <w:rFonts w:hint="eastAsia" w:ascii="宋体" w:hAnsi="宋体" w:eastAsia="宋体" w:cs="宋体"/>
            </w:rPr>
            <w:instrText xml:space="preserve"> HYPERLINK \l _Toc32602 </w:instrText>
          </w:r>
          <w:r>
            <w:rPr>
              <w:rFonts w:hint="eastAsia" w:ascii="宋体" w:hAnsi="宋体" w:eastAsia="宋体" w:cs="宋体"/>
            </w:rPr>
            <w:fldChar w:fldCharType="separate"/>
          </w:r>
          <w:r>
            <w:rPr>
              <w:rFonts w:hint="eastAsia" w:ascii="宋体" w:hAnsi="宋体" w:eastAsia="宋体" w:cs="宋体"/>
              <w:bCs/>
              <w:kern w:val="44"/>
            </w:rPr>
            <w:t xml:space="preserve">一、 </w:t>
          </w:r>
          <w:r>
            <w:rPr>
              <w:rFonts w:hint="eastAsia" w:ascii="宋体" w:hAnsi="宋体" w:eastAsia="宋体" w:cs="宋体"/>
              <w:kern w:val="44"/>
            </w:rPr>
            <w:t>平台介绍</w:t>
          </w:r>
          <w:r>
            <w:tab/>
          </w:r>
          <w:r>
            <w:fldChar w:fldCharType="begin"/>
          </w:r>
          <w:r>
            <w:instrText xml:space="preserve"> PAGEREF _Toc32602 \h </w:instrText>
          </w:r>
          <w:r>
            <w:fldChar w:fldCharType="separate"/>
          </w:r>
          <w:r>
            <w:t>1</w:t>
          </w:r>
          <w:r>
            <w:fldChar w:fldCharType="end"/>
          </w:r>
          <w:r>
            <w:rPr>
              <w:rFonts w:hint="eastAsia" w:ascii="宋体" w:hAnsi="宋体" w:eastAsia="宋体" w:cs="宋体"/>
            </w:rPr>
            <w:fldChar w:fldCharType="end"/>
          </w:r>
        </w:p>
        <w:p w14:paraId="0C92810F">
          <w:pPr>
            <w:pStyle w:val="29"/>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_Toc26284 </w:instrText>
          </w:r>
          <w:r>
            <w:rPr>
              <w:rFonts w:hint="eastAsia" w:ascii="宋体" w:hAnsi="宋体" w:eastAsia="宋体" w:cs="宋体"/>
            </w:rPr>
            <w:fldChar w:fldCharType="separate"/>
          </w:r>
          <w:r>
            <w:rPr>
              <w:rFonts w:hint="eastAsia" w:ascii="宋体" w:hAnsi="宋体" w:eastAsia="宋体" w:cs="宋体"/>
              <w:bCs/>
              <w:kern w:val="44"/>
            </w:rPr>
            <w:t xml:space="preserve">二、 </w:t>
          </w:r>
          <w:r>
            <w:rPr>
              <w:rFonts w:hint="eastAsia" w:ascii="宋体" w:hAnsi="宋体" w:eastAsia="宋体" w:cs="宋体"/>
              <w:kern w:val="44"/>
            </w:rPr>
            <w:t>课程定位</w:t>
          </w:r>
          <w:r>
            <w:tab/>
          </w:r>
          <w:r>
            <w:fldChar w:fldCharType="begin"/>
          </w:r>
          <w:r>
            <w:instrText xml:space="preserve"> PAGEREF _Toc26284 \h </w:instrText>
          </w:r>
          <w:r>
            <w:fldChar w:fldCharType="separate"/>
          </w:r>
          <w:r>
            <w:t>2</w:t>
          </w:r>
          <w:r>
            <w:fldChar w:fldCharType="end"/>
          </w:r>
          <w:r>
            <w:rPr>
              <w:rFonts w:hint="eastAsia" w:ascii="宋体" w:hAnsi="宋体" w:eastAsia="宋体" w:cs="宋体"/>
            </w:rPr>
            <w:fldChar w:fldCharType="end"/>
          </w:r>
        </w:p>
        <w:p w14:paraId="17DE2E11">
          <w:pPr>
            <w:pStyle w:val="29"/>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_Toc22491 </w:instrText>
          </w:r>
          <w:r>
            <w:rPr>
              <w:rFonts w:hint="eastAsia" w:ascii="宋体" w:hAnsi="宋体" w:eastAsia="宋体" w:cs="宋体"/>
            </w:rPr>
            <w:fldChar w:fldCharType="separate"/>
          </w:r>
          <w:r>
            <w:rPr>
              <w:rFonts w:hint="eastAsia" w:ascii="宋体" w:hAnsi="宋体" w:eastAsia="宋体" w:cs="宋体"/>
              <w:bCs/>
            </w:rPr>
            <w:t xml:space="preserve">三、 </w:t>
          </w:r>
          <w:r>
            <w:rPr>
              <w:rFonts w:hint="eastAsia" w:ascii="宋体" w:hAnsi="宋体" w:eastAsia="宋体" w:cs="宋体"/>
              <w:kern w:val="44"/>
            </w:rPr>
            <w:t>实验内容与项目概述</w:t>
          </w:r>
          <w:r>
            <w:tab/>
          </w:r>
          <w:r>
            <w:fldChar w:fldCharType="begin"/>
          </w:r>
          <w:r>
            <w:instrText xml:space="preserve"> PAGEREF _Toc22491 \h </w:instrText>
          </w:r>
          <w:r>
            <w:fldChar w:fldCharType="separate"/>
          </w:r>
          <w:r>
            <w:t>2</w:t>
          </w:r>
          <w:r>
            <w:fldChar w:fldCharType="end"/>
          </w:r>
          <w:r>
            <w:rPr>
              <w:rFonts w:hint="eastAsia" w:ascii="宋体" w:hAnsi="宋体" w:eastAsia="宋体" w:cs="宋体"/>
            </w:rPr>
            <w:fldChar w:fldCharType="end"/>
          </w:r>
        </w:p>
        <w:p w14:paraId="70333F3E">
          <w:pPr>
            <w:pStyle w:val="30"/>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_Toc18829 </w:instrText>
          </w:r>
          <w:r>
            <w:rPr>
              <w:rFonts w:hint="eastAsia" w:ascii="宋体" w:hAnsi="宋体" w:eastAsia="宋体" w:cs="宋体"/>
            </w:rPr>
            <w:fldChar w:fldCharType="separate"/>
          </w:r>
          <w:r>
            <w:rPr>
              <w:rFonts w:hint="eastAsia" w:ascii="宋体" w:hAnsi="宋体" w:eastAsia="宋体" w:cs="宋体"/>
            </w:rPr>
            <w:t xml:space="preserve">（一） </w:t>
          </w:r>
          <w:r>
            <w:rPr>
              <w:rFonts w:hint="eastAsia" w:ascii="宋体" w:hAnsi="宋体" w:eastAsia="宋体" w:cs="宋体"/>
              <w:lang w:val="en-US" w:eastAsia="zh-CN"/>
            </w:rPr>
            <w:t>AI金融计量教学平台简介</w:t>
          </w:r>
          <w:r>
            <w:tab/>
          </w:r>
          <w:r>
            <w:fldChar w:fldCharType="begin"/>
          </w:r>
          <w:r>
            <w:instrText xml:space="preserve"> PAGEREF _Toc18829 \h </w:instrText>
          </w:r>
          <w:r>
            <w:fldChar w:fldCharType="separate"/>
          </w:r>
          <w:r>
            <w:t>2</w:t>
          </w:r>
          <w:r>
            <w:fldChar w:fldCharType="end"/>
          </w:r>
          <w:r>
            <w:rPr>
              <w:rFonts w:hint="eastAsia" w:ascii="宋体" w:hAnsi="宋体" w:eastAsia="宋体" w:cs="宋体"/>
            </w:rPr>
            <w:fldChar w:fldCharType="end"/>
          </w:r>
        </w:p>
        <w:p w14:paraId="71AECB5F">
          <w:pPr>
            <w:pStyle w:val="40"/>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_Toc30764 </w:instrText>
          </w:r>
          <w:r>
            <w:rPr>
              <w:rFonts w:hint="eastAsia" w:ascii="宋体" w:hAnsi="宋体" w:eastAsia="宋体" w:cs="宋体"/>
            </w:rPr>
            <w:fldChar w:fldCharType="separate"/>
          </w:r>
          <w:r>
            <w:rPr>
              <w:rFonts w:hint="eastAsia" w:ascii="宋体" w:hAnsi="宋体" w:eastAsia="宋体" w:cs="宋体"/>
              <w:szCs w:val="21"/>
            </w:rPr>
            <w:t xml:space="preserve">1． </w:t>
          </w:r>
          <w:r>
            <w:rPr>
              <w:rFonts w:hint="eastAsia" w:ascii="宋体" w:hAnsi="宋体" w:eastAsia="宋体" w:cs="宋体"/>
              <w:szCs w:val="21"/>
              <w:lang w:val="en-US" w:eastAsia="zh-CN"/>
            </w:rPr>
            <w:t>顶刊论文结构拆解</w:t>
          </w:r>
          <w:r>
            <w:tab/>
          </w:r>
          <w:r>
            <w:fldChar w:fldCharType="begin"/>
          </w:r>
          <w:r>
            <w:instrText xml:space="preserve"> PAGEREF _Toc30764 \h </w:instrText>
          </w:r>
          <w:r>
            <w:fldChar w:fldCharType="separate"/>
          </w:r>
          <w:r>
            <w:t>3</w:t>
          </w:r>
          <w:r>
            <w:fldChar w:fldCharType="end"/>
          </w:r>
          <w:r>
            <w:rPr>
              <w:rFonts w:hint="eastAsia" w:ascii="宋体" w:hAnsi="宋体" w:eastAsia="宋体" w:cs="宋体"/>
            </w:rPr>
            <w:fldChar w:fldCharType="end"/>
          </w:r>
        </w:p>
        <w:p w14:paraId="54BA789F">
          <w:pPr>
            <w:pStyle w:val="40"/>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_Toc9950 </w:instrText>
          </w:r>
          <w:r>
            <w:rPr>
              <w:rFonts w:hint="eastAsia" w:ascii="宋体" w:hAnsi="宋体" w:eastAsia="宋体" w:cs="宋体"/>
            </w:rPr>
            <w:fldChar w:fldCharType="separate"/>
          </w:r>
          <w:r>
            <w:rPr>
              <w:rFonts w:hint="eastAsia" w:ascii="宋体" w:hAnsi="宋体" w:eastAsia="宋体" w:cs="宋体"/>
              <w:szCs w:val="21"/>
              <w:lang w:val="en-US" w:eastAsia="zh-CN"/>
            </w:rPr>
            <w:t xml:space="preserve">2． </w:t>
          </w:r>
          <w:r>
            <w:rPr>
              <w:rFonts w:hint="eastAsia" w:ascii="宋体" w:hAnsi="宋体" w:cs="宋体"/>
              <w:szCs w:val="21"/>
              <w:lang w:val="en-US" w:eastAsia="zh-CN"/>
            </w:rPr>
            <w:t>AI选题</w:t>
          </w:r>
          <w:r>
            <w:tab/>
          </w:r>
          <w:r>
            <w:fldChar w:fldCharType="begin"/>
          </w:r>
          <w:r>
            <w:instrText xml:space="preserve"> PAGEREF _Toc9950 \h </w:instrText>
          </w:r>
          <w:r>
            <w:fldChar w:fldCharType="separate"/>
          </w:r>
          <w:r>
            <w:t>5</w:t>
          </w:r>
          <w:r>
            <w:fldChar w:fldCharType="end"/>
          </w:r>
          <w:r>
            <w:rPr>
              <w:rFonts w:hint="eastAsia" w:ascii="宋体" w:hAnsi="宋体" w:eastAsia="宋体" w:cs="宋体"/>
            </w:rPr>
            <w:fldChar w:fldCharType="end"/>
          </w:r>
        </w:p>
        <w:p w14:paraId="539283E1">
          <w:pPr>
            <w:pStyle w:val="40"/>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_Toc23051 </w:instrText>
          </w:r>
          <w:r>
            <w:rPr>
              <w:rFonts w:hint="eastAsia" w:ascii="宋体" w:hAnsi="宋体" w:eastAsia="宋体" w:cs="宋体"/>
            </w:rPr>
            <w:fldChar w:fldCharType="separate"/>
          </w:r>
          <w:r>
            <w:rPr>
              <w:rFonts w:hint="eastAsia" w:ascii="宋体" w:hAnsi="宋体" w:eastAsia="宋体" w:cs="宋体"/>
              <w:szCs w:val="21"/>
              <w:lang w:val="en-US" w:eastAsia="zh-CN"/>
            </w:rPr>
            <w:t>3． 研究主题论证</w:t>
          </w:r>
          <w:r>
            <w:tab/>
          </w:r>
          <w:r>
            <w:fldChar w:fldCharType="begin"/>
          </w:r>
          <w:r>
            <w:instrText xml:space="preserve"> PAGEREF _Toc23051 \h </w:instrText>
          </w:r>
          <w:r>
            <w:fldChar w:fldCharType="separate"/>
          </w:r>
          <w:r>
            <w:t>7</w:t>
          </w:r>
          <w:r>
            <w:fldChar w:fldCharType="end"/>
          </w:r>
          <w:r>
            <w:rPr>
              <w:rFonts w:hint="eastAsia" w:ascii="宋体" w:hAnsi="宋体" w:eastAsia="宋体" w:cs="宋体"/>
            </w:rPr>
            <w:fldChar w:fldCharType="end"/>
          </w:r>
        </w:p>
        <w:p w14:paraId="75A664A1">
          <w:pPr>
            <w:pStyle w:val="40"/>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_Toc30186 </w:instrText>
          </w:r>
          <w:r>
            <w:rPr>
              <w:rFonts w:hint="eastAsia" w:ascii="宋体" w:hAnsi="宋体" w:eastAsia="宋体" w:cs="宋体"/>
            </w:rPr>
            <w:fldChar w:fldCharType="separate"/>
          </w:r>
          <w:r>
            <w:rPr>
              <w:rFonts w:hint="eastAsia" w:ascii="宋体" w:hAnsi="宋体" w:eastAsia="宋体" w:cs="宋体"/>
              <w:szCs w:val="21"/>
              <w:lang w:val="en-US" w:eastAsia="zh-CN"/>
            </w:rPr>
            <w:t>4． 提出假说</w:t>
          </w:r>
          <w:r>
            <w:tab/>
          </w:r>
          <w:r>
            <w:fldChar w:fldCharType="begin"/>
          </w:r>
          <w:r>
            <w:instrText xml:space="preserve"> PAGEREF _Toc30186 \h </w:instrText>
          </w:r>
          <w:r>
            <w:fldChar w:fldCharType="separate"/>
          </w:r>
          <w:r>
            <w:t>8</w:t>
          </w:r>
          <w:r>
            <w:fldChar w:fldCharType="end"/>
          </w:r>
          <w:r>
            <w:rPr>
              <w:rFonts w:hint="eastAsia" w:ascii="宋体" w:hAnsi="宋体" w:eastAsia="宋体" w:cs="宋体"/>
            </w:rPr>
            <w:fldChar w:fldCharType="end"/>
          </w:r>
        </w:p>
        <w:p w14:paraId="42E713BD">
          <w:pPr>
            <w:pStyle w:val="40"/>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_Toc26759 </w:instrText>
          </w:r>
          <w:r>
            <w:rPr>
              <w:rFonts w:hint="eastAsia" w:ascii="宋体" w:hAnsi="宋体" w:eastAsia="宋体" w:cs="宋体"/>
            </w:rPr>
            <w:fldChar w:fldCharType="separate"/>
          </w:r>
          <w:r>
            <w:rPr>
              <w:rFonts w:hint="eastAsia" w:ascii="宋体" w:hAnsi="宋体" w:eastAsia="宋体" w:cs="宋体"/>
              <w:szCs w:val="21"/>
              <w:lang w:val="en-US" w:eastAsia="zh-CN"/>
            </w:rPr>
            <w:t>5． 实证分析</w:t>
          </w:r>
          <w:r>
            <w:tab/>
          </w:r>
          <w:r>
            <w:fldChar w:fldCharType="begin"/>
          </w:r>
          <w:r>
            <w:instrText xml:space="preserve"> PAGEREF _Toc26759 \h </w:instrText>
          </w:r>
          <w:r>
            <w:fldChar w:fldCharType="separate"/>
          </w:r>
          <w:r>
            <w:t>8</w:t>
          </w:r>
          <w:r>
            <w:fldChar w:fldCharType="end"/>
          </w:r>
          <w:r>
            <w:rPr>
              <w:rFonts w:hint="eastAsia" w:ascii="宋体" w:hAnsi="宋体" w:eastAsia="宋体" w:cs="宋体"/>
            </w:rPr>
            <w:fldChar w:fldCharType="end"/>
          </w:r>
        </w:p>
        <w:p w14:paraId="14A2F801">
          <w:pPr>
            <w:pStyle w:val="40"/>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_Toc19119 </w:instrText>
          </w:r>
          <w:r>
            <w:rPr>
              <w:rFonts w:hint="eastAsia" w:ascii="宋体" w:hAnsi="宋体" w:eastAsia="宋体" w:cs="宋体"/>
            </w:rPr>
            <w:fldChar w:fldCharType="separate"/>
          </w:r>
          <w:r>
            <w:rPr>
              <w:rFonts w:hint="eastAsia" w:ascii="宋体" w:hAnsi="宋体" w:eastAsia="宋体" w:cs="宋体"/>
              <w:szCs w:val="21"/>
              <w:lang w:val="en-US" w:eastAsia="zh-CN"/>
            </w:rPr>
            <w:t>6． 结果解读</w:t>
          </w:r>
          <w:r>
            <w:tab/>
          </w:r>
          <w:r>
            <w:fldChar w:fldCharType="begin"/>
          </w:r>
          <w:r>
            <w:instrText xml:space="preserve"> PAGEREF _Toc19119 \h </w:instrText>
          </w:r>
          <w:r>
            <w:fldChar w:fldCharType="separate"/>
          </w:r>
          <w:r>
            <w:t>13</w:t>
          </w:r>
          <w:r>
            <w:fldChar w:fldCharType="end"/>
          </w:r>
          <w:r>
            <w:rPr>
              <w:rFonts w:hint="eastAsia" w:ascii="宋体" w:hAnsi="宋体" w:eastAsia="宋体" w:cs="宋体"/>
            </w:rPr>
            <w:fldChar w:fldCharType="end"/>
          </w:r>
        </w:p>
        <w:p w14:paraId="16CA812B">
          <w:pPr>
            <w:pStyle w:val="40"/>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_Toc4142 </w:instrText>
          </w:r>
          <w:r>
            <w:rPr>
              <w:rFonts w:hint="eastAsia" w:ascii="宋体" w:hAnsi="宋体" w:eastAsia="宋体" w:cs="宋体"/>
            </w:rPr>
            <w:fldChar w:fldCharType="separate"/>
          </w:r>
          <w:r>
            <w:rPr>
              <w:rFonts w:hint="eastAsia" w:ascii="宋体" w:hAnsi="宋体" w:eastAsia="宋体" w:cs="宋体"/>
              <w:szCs w:val="21"/>
              <w:lang w:val="en-US" w:eastAsia="zh-CN"/>
            </w:rPr>
            <w:t>7． 研究背景、理论分析、假设论证</w:t>
          </w:r>
          <w:r>
            <w:tab/>
          </w:r>
          <w:r>
            <w:fldChar w:fldCharType="begin"/>
          </w:r>
          <w:r>
            <w:instrText xml:space="preserve"> PAGEREF _Toc4142 \h </w:instrText>
          </w:r>
          <w:r>
            <w:fldChar w:fldCharType="separate"/>
          </w:r>
          <w:r>
            <w:t>14</w:t>
          </w:r>
          <w:r>
            <w:fldChar w:fldCharType="end"/>
          </w:r>
          <w:r>
            <w:rPr>
              <w:rFonts w:hint="eastAsia" w:ascii="宋体" w:hAnsi="宋体" w:eastAsia="宋体" w:cs="宋体"/>
            </w:rPr>
            <w:fldChar w:fldCharType="end"/>
          </w:r>
        </w:p>
        <w:p w14:paraId="358B1EF5">
          <w:pPr>
            <w:pStyle w:val="40"/>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_Toc28158 </w:instrText>
          </w:r>
          <w:r>
            <w:rPr>
              <w:rFonts w:hint="eastAsia" w:ascii="宋体" w:hAnsi="宋体" w:eastAsia="宋体" w:cs="宋体"/>
            </w:rPr>
            <w:fldChar w:fldCharType="separate"/>
          </w:r>
          <w:r>
            <w:rPr>
              <w:rFonts w:hint="eastAsia" w:ascii="宋体" w:hAnsi="宋体" w:eastAsia="宋体" w:cs="宋体"/>
              <w:szCs w:val="21"/>
              <w:lang w:val="en-US" w:eastAsia="zh-CN"/>
            </w:rPr>
            <w:t xml:space="preserve">8． </w:t>
          </w:r>
          <w:r>
            <w:rPr>
              <w:rFonts w:hint="eastAsia" w:ascii="宋体" w:hAnsi="宋体" w:cs="宋体"/>
              <w:szCs w:val="21"/>
              <w:lang w:val="en-US" w:eastAsia="zh-CN"/>
            </w:rPr>
            <w:t>润色与AI审稿</w:t>
          </w:r>
          <w:r>
            <w:tab/>
          </w:r>
          <w:r>
            <w:fldChar w:fldCharType="begin"/>
          </w:r>
          <w:r>
            <w:instrText xml:space="preserve"> PAGEREF _Toc28158 \h </w:instrText>
          </w:r>
          <w:r>
            <w:fldChar w:fldCharType="separate"/>
          </w:r>
          <w:r>
            <w:t>16</w:t>
          </w:r>
          <w:r>
            <w:fldChar w:fldCharType="end"/>
          </w:r>
          <w:r>
            <w:rPr>
              <w:rFonts w:hint="eastAsia" w:ascii="宋体" w:hAnsi="宋体" w:eastAsia="宋体" w:cs="宋体"/>
            </w:rPr>
            <w:fldChar w:fldCharType="end"/>
          </w:r>
        </w:p>
        <w:p w14:paraId="6850D2D1">
          <w:pPr>
            <w:pStyle w:val="30"/>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_Toc13083 </w:instrText>
          </w:r>
          <w:r>
            <w:rPr>
              <w:rFonts w:hint="eastAsia" w:ascii="宋体" w:hAnsi="宋体" w:eastAsia="宋体" w:cs="宋体"/>
            </w:rPr>
            <w:fldChar w:fldCharType="separate"/>
          </w:r>
          <w:r>
            <w:rPr>
              <w:rFonts w:hint="eastAsia" w:ascii="宋体" w:hAnsi="宋体" w:eastAsia="宋体" w:cs="宋体"/>
            </w:rPr>
            <w:t xml:space="preserve">（二） </w:t>
          </w:r>
          <w:r>
            <w:rPr>
              <w:rFonts w:hint="eastAsia" w:ascii="宋体" w:hAnsi="宋体" w:cs="宋体"/>
              <w:lang w:val="en-US" w:eastAsia="zh-CN"/>
            </w:rPr>
            <w:t>AI金融计量教学平台案例简介</w:t>
          </w:r>
          <w:r>
            <w:tab/>
          </w:r>
          <w:r>
            <w:fldChar w:fldCharType="begin"/>
          </w:r>
          <w:r>
            <w:instrText xml:space="preserve"> PAGEREF _Toc13083 \h </w:instrText>
          </w:r>
          <w:r>
            <w:fldChar w:fldCharType="separate"/>
          </w:r>
          <w:r>
            <w:t>17</w:t>
          </w:r>
          <w:r>
            <w:fldChar w:fldCharType="end"/>
          </w:r>
          <w:r>
            <w:rPr>
              <w:rFonts w:hint="eastAsia" w:ascii="宋体" w:hAnsi="宋体" w:eastAsia="宋体" w:cs="宋体"/>
            </w:rPr>
            <w:fldChar w:fldCharType="end"/>
          </w:r>
        </w:p>
        <w:p w14:paraId="11A0CD4F">
          <w:pPr>
            <w:pStyle w:val="40"/>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_Toc19404 </w:instrText>
          </w:r>
          <w:r>
            <w:rPr>
              <w:rFonts w:hint="eastAsia" w:ascii="宋体" w:hAnsi="宋体" w:eastAsia="宋体" w:cs="宋体"/>
            </w:rPr>
            <w:fldChar w:fldCharType="separate"/>
          </w:r>
          <w:r>
            <w:rPr>
              <w:rFonts w:hint="eastAsia" w:ascii="宋体" w:hAnsi="宋体" w:eastAsia="宋体" w:cs="宋体"/>
              <w:szCs w:val="21"/>
              <w:lang w:val="en-US" w:eastAsia="zh-CN"/>
            </w:rPr>
            <w:t>1． 双向固定效应模型(管理层宏观经济认知与企业违约风险)</w:t>
          </w:r>
          <w:r>
            <w:tab/>
          </w:r>
          <w:r>
            <w:fldChar w:fldCharType="begin"/>
          </w:r>
          <w:r>
            <w:instrText xml:space="preserve"> PAGEREF _Toc19404 \h </w:instrText>
          </w:r>
          <w:r>
            <w:fldChar w:fldCharType="separate"/>
          </w:r>
          <w:r>
            <w:t>17</w:t>
          </w:r>
          <w:r>
            <w:fldChar w:fldCharType="end"/>
          </w:r>
          <w:r>
            <w:rPr>
              <w:rFonts w:hint="eastAsia" w:ascii="宋体" w:hAnsi="宋体" w:eastAsia="宋体" w:cs="宋体"/>
            </w:rPr>
            <w:fldChar w:fldCharType="end"/>
          </w:r>
        </w:p>
        <w:p w14:paraId="2E4C5E59">
          <w:pPr>
            <w:pStyle w:val="40"/>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_Toc32399 </w:instrText>
          </w:r>
          <w:r>
            <w:rPr>
              <w:rFonts w:hint="eastAsia" w:ascii="宋体" w:hAnsi="宋体" w:eastAsia="宋体" w:cs="宋体"/>
            </w:rPr>
            <w:fldChar w:fldCharType="separate"/>
          </w:r>
          <w:r>
            <w:rPr>
              <w:rFonts w:hint="eastAsia" w:ascii="宋体" w:hAnsi="宋体" w:eastAsia="宋体" w:cs="宋体"/>
              <w:szCs w:val="21"/>
              <w:lang w:val="en-US" w:eastAsia="zh-CN"/>
            </w:rPr>
            <w:t>2． 双向固定效应模型(管理层预期能否反映公司战略导向：基于行为经济学的研究)</w:t>
          </w:r>
          <w:r>
            <w:tab/>
          </w:r>
          <w:r>
            <w:fldChar w:fldCharType="begin"/>
          </w:r>
          <w:r>
            <w:instrText xml:space="preserve"> PAGEREF _Toc32399 \h </w:instrText>
          </w:r>
          <w:r>
            <w:fldChar w:fldCharType="separate"/>
          </w:r>
          <w:r>
            <w:t>18</w:t>
          </w:r>
          <w:r>
            <w:fldChar w:fldCharType="end"/>
          </w:r>
          <w:r>
            <w:rPr>
              <w:rFonts w:hint="eastAsia" w:ascii="宋体" w:hAnsi="宋体" w:eastAsia="宋体" w:cs="宋体"/>
            </w:rPr>
            <w:fldChar w:fldCharType="end"/>
          </w:r>
        </w:p>
        <w:p w14:paraId="0AE7AC97">
          <w:pPr>
            <w:pStyle w:val="40"/>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_Toc4339 </w:instrText>
          </w:r>
          <w:r>
            <w:rPr>
              <w:rFonts w:hint="eastAsia" w:ascii="宋体" w:hAnsi="宋体" w:eastAsia="宋体" w:cs="宋体"/>
            </w:rPr>
            <w:fldChar w:fldCharType="separate"/>
          </w:r>
          <w:r>
            <w:rPr>
              <w:rFonts w:hint="eastAsia" w:ascii="宋体" w:hAnsi="宋体" w:eastAsia="宋体" w:cs="宋体"/>
              <w:szCs w:val="21"/>
              <w:lang w:val="en-US" w:eastAsia="zh-CN"/>
            </w:rPr>
            <w:t>3． 固定效应模型(数字化转型与银行信贷配置—基于银行贷款投向实体经济的视角)</w:t>
          </w:r>
          <w:r>
            <w:tab/>
          </w:r>
          <w:r>
            <w:fldChar w:fldCharType="begin"/>
          </w:r>
          <w:r>
            <w:instrText xml:space="preserve"> PAGEREF _Toc4339 \h </w:instrText>
          </w:r>
          <w:r>
            <w:fldChar w:fldCharType="separate"/>
          </w:r>
          <w:r>
            <w:t>19</w:t>
          </w:r>
          <w:r>
            <w:fldChar w:fldCharType="end"/>
          </w:r>
          <w:r>
            <w:rPr>
              <w:rFonts w:hint="eastAsia" w:ascii="宋体" w:hAnsi="宋体" w:eastAsia="宋体" w:cs="宋体"/>
            </w:rPr>
            <w:fldChar w:fldCharType="end"/>
          </w:r>
        </w:p>
        <w:p w14:paraId="5586B871">
          <w:pPr>
            <w:pStyle w:val="40"/>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_Toc13873 </w:instrText>
          </w:r>
          <w:r>
            <w:rPr>
              <w:rFonts w:hint="eastAsia" w:ascii="宋体" w:hAnsi="宋体" w:eastAsia="宋体" w:cs="宋体"/>
            </w:rPr>
            <w:fldChar w:fldCharType="separate"/>
          </w:r>
          <w:r>
            <w:rPr>
              <w:rFonts w:hint="eastAsia" w:ascii="宋体" w:hAnsi="宋体" w:eastAsia="宋体" w:cs="宋体"/>
              <w:szCs w:val="21"/>
              <w:lang w:val="en-US" w:eastAsia="zh-CN"/>
            </w:rPr>
            <w:t>4． 事件研究法（央行沟通公告有助于提升政策利率的传导效率吗）</w:t>
          </w:r>
          <w:r>
            <w:tab/>
          </w:r>
          <w:r>
            <w:fldChar w:fldCharType="begin"/>
          </w:r>
          <w:r>
            <w:instrText xml:space="preserve"> PAGEREF _Toc13873 \h </w:instrText>
          </w:r>
          <w:r>
            <w:fldChar w:fldCharType="separate"/>
          </w:r>
          <w:r>
            <w:t>20</w:t>
          </w:r>
          <w:r>
            <w:fldChar w:fldCharType="end"/>
          </w:r>
          <w:r>
            <w:rPr>
              <w:rFonts w:hint="eastAsia" w:ascii="宋体" w:hAnsi="宋体" w:eastAsia="宋体" w:cs="宋体"/>
            </w:rPr>
            <w:fldChar w:fldCharType="end"/>
          </w:r>
        </w:p>
        <w:p w14:paraId="720700BF">
          <w:pPr>
            <w:pStyle w:val="40"/>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_Toc23527 </w:instrText>
          </w:r>
          <w:r>
            <w:rPr>
              <w:rFonts w:hint="eastAsia" w:ascii="宋体" w:hAnsi="宋体" w:eastAsia="宋体" w:cs="宋体"/>
            </w:rPr>
            <w:fldChar w:fldCharType="separate"/>
          </w:r>
          <w:r>
            <w:rPr>
              <w:rFonts w:hint="eastAsia" w:ascii="宋体" w:hAnsi="宋体" w:eastAsia="宋体" w:cs="宋体"/>
              <w:szCs w:val="21"/>
              <w:lang w:val="en-US" w:eastAsia="zh-CN"/>
            </w:rPr>
            <w:t>5． 倾向得分匹配+双重差分（延付高管薪酬对银行风险承担的政策效应—基于银行盈余管理动机视角的PSM-DID分析）</w:t>
          </w:r>
          <w:r>
            <w:tab/>
          </w:r>
          <w:r>
            <w:fldChar w:fldCharType="begin"/>
          </w:r>
          <w:r>
            <w:instrText xml:space="preserve"> PAGEREF _Toc23527 \h </w:instrText>
          </w:r>
          <w:r>
            <w:fldChar w:fldCharType="separate"/>
          </w:r>
          <w:r>
            <w:t>21</w:t>
          </w:r>
          <w:r>
            <w:fldChar w:fldCharType="end"/>
          </w:r>
          <w:r>
            <w:rPr>
              <w:rFonts w:hint="eastAsia" w:ascii="宋体" w:hAnsi="宋体" w:eastAsia="宋体" w:cs="宋体"/>
            </w:rPr>
            <w:fldChar w:fldCharType="end"/>
          </w:r>
        </w:p>
        <w:p w14:paraId="636C3C82">
          <w:pPr>
            <w:pStyle w:val="40"/>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_Toc27239 </w:instrText>
          </w:r>
          <w:r>
            <w:rPr>
              <w:rFonts w:hint="eastAsia" w:ascii="宋体" w:hAnsi="宋体" w:eastAsia="宋体" w:cs="宋体"/>
            </w:rPr>
            <w:fldChar w:fldCharType="separate"/>
          </w:r>
          <w:r>
            <w:rPr>
              <w:rFonts w:hint="eastAsia" w:ascii="宋体" w:hAnsi="宋体" w:eastAsia="宋体" w:cs="宋体"/>
              <w:szCs w:val="21"/>
              <w:lang w:val="en-US" w:eastAsia="zh-CN"/>
            </w:rPr>
            <w:t>6． 双重差分+三重差分（排污权交易机制是否提高了企业全要素生产率——来自中国上市公司的证据）</w:t>
          </w:r>
          <w:r>
            <w:tab/>
          </w:r>
          <w:r>
            <w:fldChar w:fldCharType="begin"/>
          </w:r>
          <w:r>
            <w:instrText xml:space="preserve"> PAGEREF _Toc27239 \h </w:instrText>
          </w:r>
          <w:r>
            <w:fldChar w:fldCharType="separate"/>
          </w:r>
          <w:r>
            <w:t>23</w:t>
          </w:r>
          <w:r>
            <w:fldChar w:fldCharType="end"/>
          </w:r>
          <w:r>
            <w:rPr>
              <w:rFonts w:hint="eastAsia" w:ascii="宋体" w:hAnsi="宋体" w:eastAsia="宋体" w:cs="宋体"/>
            </w:rPr>
            <w:fldChar w:fldCharType="end"/>
          </w:r>
        </w:p>
        <w:p w14:paraId="05B25F68">
          <w:pPr>
            <w:pStyle w:val="40"/>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_Toc16432 </w:instrText>
          </w:r>
          <w:r>
            <w:rPr>
              <w:rFonts w:hint="eastAsia" w:ascii="宋体" w:hAnsi="宋体" w:eastAsia="宋体" w:cs="宋体"/>
            </w:rPr>
            <w:fldChar w:fldCharType="separate"/>
          </w:r>
          <w:r>
            <w:rPr>
              <w:rFonts w:hint="eastAsia" w:ascii="宋体" w:hAnsi="宋体" w:eastAsia="宋体" w:cs="宋体"/>
              <w:szCs w:val="21"/>
              <w:lang w:val="en-US" w:eastAsia="zh-CN"/>
            </w:rPr>
            <w:t>7． 断点回归模型（环境规制与企业纳税遵从_效应、机制与改善路径）</w:t>
          </w:r>
          <w:r>
            <w:tab/>
          </w:r>
          <w:r>
            <w:fldChar w:fldCharType="begin"/>
          </w:r>
          <w:r>
            <w:instrText xml:space="preserve"> PAGEREF _Toc16432 \h </w:instrText>
          </w:r>
          <w:r>
            <w:fldChar w:fldCharType="separate"/>
          </w:r>
          <w:r>
            <w:t>24</w:t>
          </w:r>
          <w:r>
            <w:fldChar w:fldCharType="end"/>
          </w:r>
          <w:r>
            <w:rPr>
              <w:rFonts w:hint="eastAsia" w:ascii="宋体" w:hAnsi="宋体" w:eastAsia="宋体" w:cs="宋体"/>
            </w:rPr>
            <w:fldChar w:fldCharType="end"/>
          </w:r>
        </w:p>
        <w:p w14:paraId="46C0C6BD">
          <w:pPr>
            <w:pStyle w:val="40"/>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_Toc31338 </w:instrText>
          </w:r>
          <w:r>
            <w:rPr>
              <w:rFonts w:hint="eastAsia" w:ascii="宋体" w:hAnsi="宋体" w:eastAsia="宋体" w:cs="宋体"/>
            </w:rPr>
            <w:fldChar w:fldCharType="separate"/>
          </w:r>
          <w:r>
            <w:rPr>
              <w:rFonts w:hint="eastAsia" w:ascii="宋体" w:hAnsi="宋体" w:eastAsia="宋体" w:cs="宋体"/>
              <w:szCs w:val="21"/>
              <w:lang w:val="en-US" w:eastAsia="zh-CN"/>
            </w:rPr>
            <w:t>8． 多时点双重差分模型（资本市场国际化的鞭策效应_A股纳入MSCI指数与企业ESG表现）</w:t>
          </w:r>
          <w:r>
            <w:tab/>
          </w:r>
          <w:r>
            <w:fldChar w:fldCharType="begin"/>
          </w:r>
          <w:r>
            <w:instrText xml:space="preserve"> PAGEREF _Toc31338 \h </w:instrText>
          </w:r>
          <w:r>
            <w:fldChar w:fldCharType="separate"/>
          </w:r>
          <w:r>
            <w:t>25</w:t>
          </w:r>
          <w:r>
            <w:fldChar w:fldCharType="end"/>
          </w:r>
          <w:r>
            <w:rPr>
              <w:rFonts w:hint="eastAsia" w:ascii="宋体" w:hAnsi="宋体" w:eastAsia="宋体" w:cs="宋体"/>
            </w:rPr>
            <w:fldChar w:fldCharType="end"/>
          </w:r>
        </w:p>
        <w:p w14:paraId="238E51F9">
          <w:pPr>
            <w:keepNext w:val="0"/>
            <w:keepLines w:val="0"/>
            <w:pageBreakBefore w:val="0"/>
            <w:kinsoku/>
            <w:wordWrap/>
            <w:overflowPunct/>
            <w:topLinePunct w:val="0"/>
            <w:autoSpaceDE/>
            <w:autoSpaceDN/>
            <w:bidi w:val="0"/>
            <w:adjustRightInd w:val="0"/>
            <w:snapToGrid w:val="0"/>
            <w:spacing w:line="360" w:lineRule="auto"/>
            <w:ind w:firstLine="560"/>
            <w:textAlignment w:val="auto"/>
            <w:rPr>
              <w:rFonts w:hint="eastAsia" w:ascii="宋体" w:hAnsi="宋体" w:eastAsia="宋体" w:cs="宋体"/>
              <w:kern w:val="2"/>
              <w:sz w:val="28"/>
              <w:szCs w:val="24"/>
              <w:lang w:val="en-US" w:eastAsia="zh-CN" w:bidi="ar-SA"/>
            </w:rPr>
          </w:pPr>
          <w:r>
            <w:rPr>
              <w:rFonts w:hint="eastAsia" w:ascii="宋体" w:hAnsi="宋体" w:eastAsia="宋体" w:cs="宋体"/>
            </w:rPr>
            <w:fldChar w:fldCharType="end"/>
          </w:r>
        </w:p>
      </w:sdtContent>
    </w:sdt>
    <w:p w14:paraId="17648692">
      <w:pPr>
        <w:pStyle w:val="2"/>
        <w:rPr>
          <w:rFonts w:hint="eastAsia"/>
        </w:rPr>
      </w:pPr>
    </w:p>
    <w:p w14:paraId="51773467">
      <w:pPr>
        <w:pStyle w:val="4"/>
        <w:pageBreakBefore w:val="0"/>
        <w:kinsoku/>
        <w:wordWrap/>
        <w:overflowPunct/>
        <w:topLinePunct w:val="0"/>
        <w:autoSpaceDE/>
        <w:autoSpaceDN/>
        <w:bidi w:val="0"/>
        <w:adjustRightInd w:val="0"/>
        <w:snapToGrid w:val="0"/>
        <w:spacing w:before="0" w:after="0" w:line="360" w:lineRule="auto"/>
        <w:ind w:firstLine="403"/>
        <w:textAlignment w:val="auto"/>
        <w:outlineLvl w:val="9"/>
        <w:rPr>
          <w:rFonts w:hint="eastAsia" w:ascii="宋体" w:hAnsi="宋体" w:eastAsia="宋体" w:cs="宋体"/>
          <w:sz w:val="24"/>
        </w:rPr>
        <w:sectPr>
          <w:footerReference r:id="rId11" w:type="default"/>
          <w:pgSz w:w="11906" w:h="16838"/>
          <w:pgMar w:top="1440" w:right="1800" w:bottom="1440" w:left="1800" w:header="851" w:footer="992" w:gutter="0"/>
          <w:pgNumType w:start="1"/>
          <w:cols w:space="720" w:num="1"/>
          <w:docGrid w:type="lines" w:linePitch="312" w:charSpace="0"/>
        </w:sectPr>
      </w:pPr>
      <w:bookmarkStart w:id="1" w:name="_Toc6195"/>
    </w:p>
    <w:bookmarkEnd w:id="1"/>
    <w:p w14:paraId="2399C2E9">
      <w:pPr>
        <w:keepNext/>
        <w:keepLines/>
        <w:pageBreakBefore w:val="0"/>
        <w:numPr>
          <w:ilvl w:val="0"/>
          <w:numId w:val="1"/>
        </w:numPr>
        <w:kinsoku/>
        <w:wordWrap/>
        <w:overflowPunct/>
        <w:topLinePunct w:val="0"/>
        <w:autoSpaceDE/>
        <w:autoSpaceDN/>
        <w:bidi w:val="0"/>
        <w:adjustRightInd w:val="0"/>
        <w:snapToGrid w:val="0"/>
        <w:spacing w:line="360" w:lineRule="auto"/>
        <w:ind w:left="0" w:firstLine="403" w:firstLineChars="0"/>
        <w:textAlignment w:val="auto"/>
        <w:outlineLvl w:val="0"/>
        <w:rPr>
          <w:rFonts w:hint="eastAsia" w:ascii="宋体" w:hAnsi="宋体" w:eastAsia="宋体" w:cs="宋体"/>
          <w:b/>
          <w:kern w:val="44"/>
          <w:sz w:val="24"/>
        </w:rPr>
      </w:pPr>
      <w:bookmarkStart w:id="2" w:name="_Toc32602"/>
      <w:bookmarkStart w:id="3" w:name="_Toc15901"/>
      <w:bookmarkStart w:id="4" w:name="_Toc21126"/>
      <w:r>
        <w:rPr>
          <w:rFonts w:hint="eastAsia" w:ascii="宋体" w:hAnsi="宋体" w:eastAsia="宋体" w:cs="宋体"/>
          <w:b/>
          <w:kern w:val="44"/>
          <w:sz w:val="24"/>
        </w:rPr>
        <w:t>平台介绍</w:t>
      </w:r>
      <w:bookmarkEnd w:id="2"/>
      <w:bookmarkEnd w:id="3"/>
      <w:bookmarkEnd w:id="4"/>
    </w:p>
    <w:p w14:paraId="6634638D">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eastAsia="zh-CN"/>
        </w:rPr>
        <w:t>AI金融计量教学平台</w:t>
      </w:r>
      <w:r>
        <w:rPr>
          <w:rFonts w:hint="eastAsia" w:ascii="宋体" w:hAnsi="宋体" w:eastAsia="宋体" w:cs="宋体"/>
          <w:sz w:val="21"/>
          <w:szCs w:val="21"/>
        </w:rPr>
        <w:t>基于</w:t>
      </w:r>
      <w:r>
        <w:rPr>
          <w:rFonts w:hint="eastAsia" w:ascii="宋体" w:hAnsi="宋体" w:eastAsia="宋体" w:cs="宋体"/>
          <w:sz w:val="21"/>
          <w:szCs w:val="21"/>
          <w:lang w:val="en-US" w:eastAsia="zh-CN"/>
        </w:rPr>
        <w:t>AI、Python、stata技术，根据通过顶刊论文案例复现操作，融合AI和机器学习</w:t>
      </w:r>
      <w:r>
        <w:rPr>
          <w:rFonts w:hint="eastAsia" w:ascii="宋体" w:hAnsi="宋体" w:eastAsia="宋体" w:cs="宋体"/>
          <w:sz w:val="21"/>
          <w:szCs w:val="21"/>
        </w:rPr>
        <w:t>展示数据</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AI金融计量实验可实现读取数据、数据预处理、各类检验、数据可视化、特征工程、文本分析、调试工具、stata计量建模分析等科研分析任务，</w:t>
      </w:r>
      <w:r>
        <w:rPr>
          <w:rFonts w:hint="eastAsia" w:ascii="宋体" w:hAnsi="宋体" w:eastAsia="宋体" w:cs="宋体"/>
          <w:sz w:val="21"/>
          <w:szCs w:val="21"/>
        </w:rPr>
        <w:t>内容</w:t>
      </w:r>
      <w:r>
        <w:rPr>
          <w:rFonts w:hint="eastAsia" w:ascii="宋体" w:hAnsi="宋体" w:eastAsia="宋体" w:cs="宋体"/>
          <w:sz w:val="21"/>
          <w:szCs w:val="21"/>
          <w:lang w:val="en-US" w:eastAsia="zh-CN"/>
        </w:rPr>
        <w:t>包括</w:t>
      </w:r>
      <w:r>
        <w:rPr>
          <w:rFonts w:hint="eastAsia" w:ascii="宋体" w:hAnsi="宋体" w:eastAsia="宋体" w:cs="宋体"/>
          <w:sz w:val="21"/>
          <w:szCs w:val="21"/>
        </w:rPr>
        <w:t>顶刊论文结构拆解</w:t>
      </w:r>
      <w:r>
        <w:rPr>
          <w:rFonts w:hint="eastAsia" w:ascii="宋体" w:hAnsi="宋体" w:eastAsia="宋体" w:cs="宋体"/>
          <w:sz w:val="21"/>
          <w:szCs w:val="21"/>
          <w:lang w:eastAsia="zh-CN"/>
        </w:rPr>
        <w:t>、AI选题、</w:t>
      </w:r>
      <w:r>
        <w:rPr>
          <w:rFonts w:hint="eastAsia" w:ascii="宋体" w:hAnsi="宋体" w:eastAsia="宋体" w:cs="宋体"/>
          <w:sz w:val="21"/>
          <w:szCs w:val="21"/>
        </w:rPr>
        <w:t>研究主题论证</w:t>
      </w:r>
      <w:r>
        <w:rPr>
          <w:rFonts w:hint="eastAsia" w:ascii="宋体" w:hAnsi="宋体" w:eastAsia="宋体" w:cs="宋体"/>
          <w:sz w:val="21"/>
          <w:szCs w:val="21"/>
          <w:lang w:eastAsia="zh-CN"/>
        </w:rPr>
        <w:t>、</w:t>
      </w:r>
      <w:r>
        <w:rPr>
          <w:rFonts w:hint="eastAsia" w:ascii="宋体" w:hAnsi="宋体" w:eastAsia="宋体" w:cs="宋体"/>
          <w:sz w:val="21"/>
          <w:szCs w:val="21"/>
        </w:rPr>
        <w:t>提出假说</w:t>
      </w:r>
      <w:r>
        <w:rPr>
          <w:rFonts w:hint="eastAsia" w:ascii="宋体" w:hAnsi="宋体" w:eastAsia="宋体" w:cs="宋体"/>
          <w:sz w:val="21"/>
          <w:szCs w:val="21"/>
          <w:lang w:eastAsia="zh-CN"/>
        </w:rPr>
        <w:t>、</w:t>
      </w:r>
      <w:r>
        <w:rPr>
          <w:rFonts w:hint="eastAsia" w:ascii="宋体" w:hAnsi="宋体" w:eastAsia="宋体" w:cs="宋体"/>
          <w:sz w:val="21"/>
          <w:szCs w:val="21"/>
        </w:rPr>
        <w:t>实证分析</w:t>
      </w:r>
      <w:r>
        <w:rPr>
          <w:rFonts w:hint="eastAsia" w:ascii="宋体" w:hAnsi="宋体" w:eastAsia="宋体" w:cs="宋体"/>
          <w:sz w:val="21"/>
          <w:szCs w:val="21"/>
          <w:lang w:eastAsia="zh-CN"/>
        </w:rPr>
        <w:t>、</w:t>
      </w:r>
      <w:r>
        <w:rPr>
          <w:rFonts w:hint="eastAsia" w:ascii="宋体" w:hAnsi="宋体" w:eastAsia="宋体" w:cs="宋体"/>
          <w:sz w:val="21"/>
          <w:szCs w:val="21"/>
        </w:rPr>
        <w:t>结果解读</w:t>
      </w:r>
      <w:r>
        <w:rPr>
          <w:rFonts w:hint="eastAsia" w:ascii="宋体" w:hAnsi="宋体" w:eastAsia="宋体" w:cs="宋体"/>
          <w:sz w:val="21"/>
          <w:szCs w:val="21"/>
          <w:lang w:eastAsia="zh-CN"/>
        </w:rPr>
        <w:t>、</w:t>
      </w:r>
      <w:r>
        <w:rPr>
          <w:rFonts w:hint="eastAsia" w:ascii="宋体" w:hAnsi="宋体" w:eastAsia="宋体" w:cs="宋体"/>
          <w:sz w:val="21"/>
          <w:szCs w:val="21"/>
        </w:rPr>
        <w:t>研究背景理论分析假设论证</w:t>
      </w:r>
      <w:r>
        <w:rPr>
          <w:rFonts w:hint="eastAsia" w:ascii="宋体" w:hAnsi="宋体" w:eastAsia="宋体" w:cs="宋体"/>
          <w:sz w:val="21"/>
          <w:szCs w:val="21"/>
          <w:lang w:eastAsia="zh-CN"/>
        </w:rPr>
        <w:t>、润色与AI审稿</w:t>
      </w:r>
      <w:r>
        <w:rPr>
          <w:rFonts w:hint="eastAsia" w:ascii="宋体" w:hAnsi="宋体" w:eastAsia="宋体" w:cs="宋体"/>
          <w:sz w:val="21"/>
          <w:szCs w:val="21"/>
          <w:lang w:val="en-US" w:eastAsia="zh-CN"/>
        </w:rPr>
        <w:t>等实验</w:t>
      </w:r>
      <w:r>
        <w:rPr>
          <w:rFonts w:hint="eastAsia" w:ascii="宋体" w:hAnsi="宋体" w:eastAsia="宋体" w:cs="宋体"/>
          <w:sz w:val="21"/>
          <w:szCs w:val="21"/>
        </w:rPr>
        <w:t>。</w:t>
      </w:r>
      <w:r>
        <w:rPr>
          <w:rFonts w:hint="eastAsia" w:ascii="宋体" w:hAnsi="宋体" w:eastAsia="宋体" w:cs="宋体"/>
          <w:sz w:val="21"/>
          <w:szCs w:val="21"/>
          <w:lang w:val="en-US" w:eastAsia="zh-CN"/>
        </w:rPr>
        <w:t>实验案例涵盖</w:t>
      </w:r>
      <w:r>
        <w:rPr>
          <w:rFonts w:hint="eastAsia" w:ascii="宋体" w:hAnsi="宋体" w:eastAsia="宋体" w:cs="宋体"/>
          <w:b/>
          <w:bCs/>
          <w:sz w:val="21"/>
          <w:szCs w:val="21"/>
          <w:lang w:val="en-US" w:eastAsia="zh-CN"/>
        </w:rPr>
        <w:t>8</w:t>
      </w:r>
      <w:r>
        <w:rPr>
          <w:rFonts w:hint="eastAsia" w:ascii="宋体" w:hAnsi="宋体" w:eastAsia="宋体" w:cs="宋体"/>
          <w:sz w:val="21"/>
          <w:szCs w:val="21"/>
          <w:lang w:val="en-US" w:eastAsia="zh-CN"/>
        </w:rPr>
        <w:t>大案例，包括：</w:t>
      </w:r>
    </w:p>
    <w:p w14:paraId="796B7EA7">
      <w:pPr>
        <w:keepNext w:val="0"/>
        <w:keepLines w:val="0"/>
        <w:pageBreakBefore w:val="0"/>
        <w:widowControl w:val="0"/>
        <w:numPr>
          <w:ilvl w:val="0"/>
          <w:numId w:val="2"/>
        </w:numPr>
        <w:kinsoku/>
        <w:wordWrap/>
        <w:overflowPunct/>
        <w:topLinePunct w:val="0"/>
        <w:autoSpaceDE/>
        <w:autoSpaceDN/>
        <w:bidi w:val="0"/>
        <w:adjustRightInd w:val="0"/>
        <w:snapToGrid w:val="0"/>
        <w:spacing w:beforeAutospacing="0" w:afterAutospacing="0" w:line="360" w:lineRule="auto"/>
        <w:ind w:left="0" w:leftChars="0" w:right="0" w:firstLine="420" w:firstLineChars="200"/>
        <w:jc w:val="left"/>
        <w:textAlignment w:val="auto"/>
        <w:outlineLvl w:val="9"/>
        <w:rPr>
          <w:rFonts w:hint="eastAsia" w:ascii="宋体" w:hAnsi="宋体" w:eastAsia="宋体" w:cs="宋体"/>
          <w:b w:val="0"/>
          <w:bCs w:val="0"/>
          <w:sz w:val="21"/>
          <w:szCs w:val="21"/>
          <w:lang w:val="en-US" w:eastAsia="zh-CN"/>
        </w:rPr>
      </w:pPr>
      <w:bookmarkStart w:id="5" w:name="_Toc20636"/>
      <w:r>
        <w:rPr>
          <w:rFonts w:hint="eastAsia" w:ascii="宋体" w:hAnsi="宋体" w:eastAsia="宋体" w:cs="宋体"/>
          <w:b w:val="0"/>
          <w:bCs w:val="0"/>
          <w:sz w:val="21"/>
          <w:szCs w:val="21"/>
          <w:lang w:val="en-US" w:eastAsia="zh-CN"/>
        </w:rPr>
        <w:t>双向固定效应模型(管理层宏观经济认知与企业违约风险)</w:t>
      </w:r>
      <w:bookmarkEnd w:id="5"/>
    </w:p>
    <w:p w14:paraId="485E27AA">
      <w:pPr>
        <w:keepNext w:val="0"/>
        <w:keepLines w:val="0"/>
        <w:pageBreakBefore w:val="0"/>
        <w:widowControl w:val="0"/>
        <w:numPr>
          <w:ilvl w:val="0"/>
          <w:numId w:val="2"/>
        </w:numPr>
        <w:kinsoku/>
        <w:wordWrap/>
        <w:overflowPunct/>
        <w:topLinePunct w:val="0"/>
        <w:autoSpaceDE/>
        <w:autoSpaceDN/>
        <w:bidi w:val="0"/>
        <w:adjustRightInd w:val="0"/>
        <w:snapToGrid w:val="0"/>
        <w:spacing w:beforeAutospacing="0" w:afterAutospacing="0" w:line="360" w:lineRule="auto"/>
        <w:ind w:left="0" w:leftChars="0" w:right="0" w:firstLine="420" w:firstLineChars="200"/>
        <w:jc w:val="left"/>
        <w:textAlignment w:val="auto"/>
        <w:outlineLvl w:val="9"/>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双向固定效应模型(管理层预期能否反映公司战略导向：基于行为经济学的研究)</w:t>
      </w:r>
    </w:p>
    <w:p w14:paraId="5F1BCEB6">
      <w:pPr>
        <w:keepNext w:val="0"/>
        <w:keepLines w:val="0"/>
        <w:pageBreakBefore w:val="0"/>
        <w:widowControl w:val="0"/>
        <w:numPr>
          <w:ilvl w:val="0"/>
          <w:numId w:val="2"/>
        </w:numPr>
        <w:kinsoku/>
        <w:wordWrap/>
        <w:overflowPunct/>
        <w:topLinePunct w:val="0"/>
        <w:autoSpaceDE/>
        <w:autoSpaceDN/>
        <w:bidi w:val="0"/>
        <w:adjustRightInd w:val="0"/>
        <w:snapToGrid w:val="0"/>
        <w:spacing w:beforeAutospacing="0" w:afterAutospacing="0" w:line="360" w:lineRule="auto"/>
        <w:ind w:left="0" w:leftChars="0" w:right="0" w:firstLine="420" w:firstLineChars="200"/>
        <w:jc w:val="left"/>
        <w:textAlignment w:val="auto"/>
        <w:outlineLvl w:val="9"/>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固定效应模型(数字化转型与银行信贷配置—基于银行贷款投向实体经济的视角)</w:t>
      </w:r>
    </w:p>
    <w:p w14:paraId="09BD5EDF">
      <w:pPr>
        <w:keepNext w:val="0"/>
        <w:keepLines w:val="0"/>
        <w:pageBreakBefore w:val="0"/>
        <w:widowControl w:val="0"/>
        <w:numPr>
          <w:ilvl w:val="0"/>
          <w:numId w:val="2"/>
        </w:numPr>
        <w:kinsoku/>
        <w:wordWrap/>
        <w:overflowPunct/>
        <w:topLinePunct w:val="0"/>
        <w:autoSpaceDE/>
        <w:autoSpaceDN/>
        <w:bidi w:val="0"/>
        <w:adjustRightInd w:val="0"/>
        <w:snapToGrid w:val="0"/>
        <w:spacing w:beforeAutospacing="0" w:afterAutospacing="0" w:line="360" w:lineRule="auto"/>
        <w:ind w:left="0" w:leftChars="0" w:right="0" w:firstLine="420" w:firstLineChars="200"/>
        <w:jc w:val="left"/>
        <w:textAlignment w:val="auto"/>
        <w:outlineLvl w:val="9"/>
        <w:rPr>
          <w:rFonts w:hint="eastAsia" w:ascii="宋体" w:hAnsi="宋体" w:eastAsia="宋体" w:cs="宋体"/>
          <w:b w:val="0"/>
          <w:bCs w:val="0"/>
          <w:sz w:val="21"/>
          <w:szCs w:val="21"/>
          <w:lang w:val="en-US" w:eastAsia="zh-CN"/>
        </w:rPr>
      </w:pPr>
      <w:bookmarkStart w:id="6" w:name="_Toc4114"/>
      <w:r>
        <w:rPr>
          <w:rFonts w:hint="eastAsia" w:ascii="宋体" w:hAnsi="宋体" w:eastAsia="宋体" w:cs="宋体"/>
          <w:b w:val="0"/>
          <w:bCs w:val="0"/>
          <w:sz w:val="21"/>
          <w:szCs w:val="21"/>
          <w:lang w:val="en-US" w:eastAsia="zh-CN"/>
        </w:rPr>
        <w:t>事件研究法（央行沟通公告有助于提升政策利率的传导效率吗）</w:t>
      </w:r>
      <w:bookmarkEnd w:id="6"/>
    </w:p>
    <w:p w14:paraId="2F30D7E5">
      <w:pPr>
        <w:keepNext w:val="0"/>
        <w:keepLines w:val="0"/>
        <w:pageBreakBefore w:val="0"/>
        <w:widowControl w:val="0"/>
        <w:numPr>
          <w:ilvl w:val="0"/>
          <w:numId w:val="2"/>
        </w:numPr>
        <w:kinsoku/>
        <w:wordWrap/>
        <w:overflowPunct/>
        <w:topLinePunct w:val="0"/>
        <w:autoSpaceDE/>
        <w:autoSpaceDN/>
        <w:bidi w:val="0"/>
        <w:adjustRightInd w:val="0"/>
        <w:snapToGrid w:val="0"/>
        <w:spacing w:beforeAutospacing="0" w:afterAutospacing="0" w:line="360" w:lineRule="auto"/>
        <w:ind w:left="0" w:leftChars="0" w:right="0" w:firstLine="420" w:firstLineChars="200"/>
        <w:jc w:val="left"/>
        <w:textAlignment w:val="auto"/>
        <w:outlineLvl w:val="9"/>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倾向得分匹配+双重差分（延付高管薪酬对银行风险承担的政策效应—基于银行盈余管理动机视角的PSM-DID分析）</w:t>
      </w:r>
    </w:p>
    <w:p w14:paraId="5AA47D14">
      <w:pPr>
        <w:keepNext w:val="0"/>
        <w:keepLines w:val="0"/>
        <w:pageBreakBefore w:val="0"/>
        <w:widowControl w:val="0"/>
        <w:numPr>
          <w:ilvl w:val="0"/>
          <w:numId w:val="2"/>
        </w:numPr>
        <w:kinsoku/>
        <w:wordWrap/>
        <w:overflowPunct/>
        <w:topLinePunct w:val="0"/>
        <w:autoSpaceDE/>
        <w:autoSpaceDN/>
        <w:bidi w:val="0"/>
        <w:adjustRightInd w:val="0"/>
        <w:snapToGrid w:val="0"/>
        <w:spacing w:beforeAutospacing="0" w:afterAutospacing="0" w:line="360" w:lineRule="auto"/>
        <w:ind w:left="0" w:leftChars="0" w:right="0" w:firstLine="420" w:firstLineChars="200"/>
        <w:jc w:val="left"/>
        <w:textAlignment w:val="auto"/>
        <w:outlineLvl w:val="9"/>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双重差分+三重差分（排污权交易机制是否提高了企业全要素生产率—来自中国上市公司的证据）</w:t>
      </w:r>
    </w:p>
    <w:p w14:paraId="56C1D644">
      <w:pPr>
        <w:keepNext w:val="0"/>
        <w:keepLines w:val="0"/>
        <w:pageBreakBefore w:val="0"/>
        <w:widowControl w:val="0"/>
        <w:numPr>
          <w:ilvl w:val="0"/>
          <w:numId w:val="2"/>
        </w:numPr>
        <w:kinsoku/>
        <w:wordWrap/>
        <w:overflowPunct/>
        <w:topLinePunct w:val="0"/>
        <w:autoSpaceDE/>
        <w:autoSpaceDN/>
        <w:bidi w:val="0"/>
        <w:adjustRightInd w:val="0"/>
        <w:snapToGrid w:val="0"/>
        <w:spacing w:beforeAutospacing="0" w:afterAutospacing="0" w:line="360" w:lineRule="auto"/>
        <w:ind w:left="0" w:leftChars="0" w:right="0" w:firstLine="420" w:firstLineChars="200"/>
        <w:jc w:val="left"/>
        <w:textAlignment w:val="auto"/>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断点回归模型（环境规制与企业纳税遵从效应、机制与改善路径）</w:t>
      </w:r>
    </w:p>
    <w:p w14:paraId="1F8B57C2">
      <w:pPr>
        <w:keepNext w:val="0"/>
        <w:keepLines w:val="0"/>
        <w:pageBreakBefore w:val="0"/>
        <w:widowControl w:val="0"/>
        <w:numPr>
          <w:ilvl w:val="0"/>
          <w:numId w:val="2"/>
        </w:numPr>
        <w:kinsoku/>
        <w:wordWrap/>
        <w:overflowPunct/>
        <w:topLinePunct w:val="0"/>
        <w:autoSpaceDE/>
        <w:autoSpaceDN/>
        <w:bidi w:val="0"/>
        <w:adjustRightInd w:val="0"/>
        <w:snapToGrid w:val="0"/>
        <w:spacing w:beforeAutospacing="0" w:afterAutospacing="0" w:line="360" w:lineRule="auto"/>
        <w:ind w:left="0" w:leftChars="0" w:right="0" w:firstLine="420" w:firstLineChars="200"/>
        <w:jc w:val="left"/>
        <w:textAlignment w:val="auto"/>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多时点双重差分模型（资本市场国际化的鞭策效应-A股纳入MSCI指数与企业ESG表现）</w:t>
      </w:r>
    </w:p>
    <w:p w14:paraId="7F6BDF89">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rPr>
      </w:pPr>
      <w:r>
        <w:rPr>
          <w:rFonts w:hint="eastAsia" w:ascii="宋体" w:hAnsi="宋体" w:eastAsia="宋体" w:cs="宋体"/>
          <w:sz w:val="21"/>
          <w:szCs w:val="21"/>
        </w:rPr>
        <w:t>学生通过实验的学习和操作掌握</w:t>
      </w:r>
      <w:r>
        <w:rPr>
          <w:rFonts w:hint="eastAsia" w:ascii="宋体" w:hAnsi="宋体" w:eastAsia="宋体" w:cs="宋体"/>
          <w:sz w:val="21"/>
          <w:szCs w:val="21"/>
          <w:lang w:val="en-US" w:eastAsia="zh-CN"/>
        </w:rPr>
        <w:t>数字经济</w:t>
      </w:r>
      <w:r>
        <w:rPr>
          <w:rFonts w:hint="eastAsia" w:ascii="宋体" w:hAnsi="宋体" w:eastAsia="宋体" w:cs="宋体"/>
          <w:sz w:val="21"/>
          <w:szCs w:val="21"/>
        </w:rPr>
        <w:t>时代</w:t>
      </w:r>
      <w:r>
        <w:rPr>
          <w:rFonts w:hint="eastAsia" w:ascii="宋体" w:hAnsi="宋体" w:eastAsia="宋体" w:cs="宋体"/>
          <w:sz w:val="21"/>
          <w:szCs w:val="21"/>
          <w:lang w:val="en-US" w:eastAsia="zh-CN"/>
        </w:rPr>
        <w:t>AI</w:t>
      </w:r>
      <w:r>
        <w:rPr>
          <w:rFonts w:hint="eastAsia" w:ascii="宋体" w:hAnsi="宋体" w:eastAsia="宋体" w:cs="宋体"/>
          <w:sz w:val="21"/>
          <w:szCs w:val="21"/>
        </w:rPr>
        <w:t>的应用。此平台有助于提高学生自主设计</w:t>
      </w:r>
      <w:r>
        <w:rPr>
          <w:rFonts w:hint="eastAsia" w:ascii="宋体" w:hAnsi="宋体" w:eastAsia="宋体" w:cs="宋体"/>
          <w:sz w:val="21"/>
          <w:szCs w:val="21"/>
          <w:lang w:val="en-US" w:eastAsia="zh-CN"/>
        </w:rPr>
        <w:t>计量建模与论文写作能力</w:t>
      </w:r>
      <w:r>
        <w:rPr>
          <w:rFonts w:hint="eastAsia" w:ascii="宋体" w:hAnsi="宋体" w:eastAsia="宋体" w:cs="宋体"/>
          <w:sz w:val="21"/>
          <w:szCs w:val="21"/>
        </w:rPr>
        <w:t>。</w:t>
      </w:r>
    </w:p>
    <w:p w14:paraId="79C11E99">
      <w:pPr>
        <w:pStyle w:val="2"/>
        <w:pageBreakBefore w:val="0"/>
        <w:kinsoku/>
        <w:wordWrap/>
        <w:overflowPunct/>
        <w:topLinePunct w:val="0"/>
        <w:autoSpaceDE/>
        <w:autoSpaceDN/>
        <w:bidi w:val="0"/>
        <w:adjustRightInd w:val="0"/>
        <w:snapToGrid w:val="0"/>
        <w:spacing w:after="0" w:line="360" w:lineRule="auto"/>
        <w:ind w:left="0" w:leftChars="0" w:firstLine="0" w:firstLineChars="0"/>
        <w:textAlignment w:val="auto"/>
        <w:rPr>
          <w:rFonts w:hint="eastAsia" w:ascii="宋体" w:hAnsi="宋体" w:eastAsia="宋体" w:cs="宋体"/>
        </w:rPr>
      </w:pPr>
      <w:r>
        <w:rPr>
          <w:rFonts w:hint="eastAsia" w:ascii="宋体" w:hAnsi="宋体" w:eastAsia="宋体" w:cs="宋体"/>
        </w:rPr>
        <w:drawing>
          <wp:inline distT="0" distB="0" distL="114300" distR="114300">
            <wp:extent cx="5266690" cy="1706245"/>
            <wp:effectExtent l="0" t="0" r="0" b="8255"/>
            <wp:docPr id="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18"/>
                    <a:stretch>
                      <a:fillRect/>
                    </a:stretch>
                  </pic:blipFill>
                  <pic:spPr>
                    <a:xfrm>
                      <a:off x="0" y="0"/>
                      <a:ext cx="5266690" cy="1706245"/>
                    </a:xfrm>
                    <a:prstGeom prst="rect">
                      <a:avLst/>
                    </a:prstGeom>
                    <a:noFill/>
                    <a:ln>
                      <a:noFill/>
                    </a:ln>
                  </pic:spPr>
                </pic:pic>
              </a:graphicData>
            </a:graphic>
          </wp:inline>
        </w:drawing>
      </w:r>
    </w:p>
    <w:p w14:paraId="0866C30D">
      <w:pPr>
        <w:keepNext/>
        <w:keepLines/>
        <w:pageBreakBefore w:val="0"/>
        <w:numPr>
          <w:ilvl w:val="0"/>
          <w:numId w:val="1"/>
        </w:numPr>
        <w:kinsoku/>
        <w:wordWrap/>
        <w:overflowPunct/>
        <w:topLinePunct w:val="0"/>
        <w:autoSpaceDE/>
        <w:autoSpaceDN/>
        <w:bidi w:val="0"/>
        <w:adjustRightInd w:val="0"/>
        <w:snapToGrid w:val="0"/>
        <w:spacing w:line="360" w:lineRule="auto"/>
        <w:ind w:left="0" w:firstLine="403" w:firstLineChars="0"/>
        <w:textAlignment w:val="auto"/>
        <w:outlineLvl w:val="0"/>
        <w:rPr>
          <w:rFonts w:hint="eastAsia" w:ascii="宋体" w:hAnsi="宋体" w:eastAsia="宋体" w:cs="宋体"/>
          <w:b/>
          <w:kern w:val="44"/>
          <w:sz w:val="24"/>
        </w:rPr>
      </w:pPr>
      <w:bookmarkStart w:id="7" w:name="_Toc17609"/>
      <w:bookmarkStart w:id="8" w:name="_Toc8979"/>
      <w:bookmarkStart w:id="9" w:name="_Toc26284"/>
      <w:r>
        <w:rPr>
          <w:rFonts w:hint="eastAsia" w:ascii="宋体" w:hAnsi="宋体" w:eastAsia="宋体" w:cs="宋体"/>
          <w:b/>
          <w:kern w:val="44"/>
          <w:sz w:val="24"/>
        </w:rPr>
        <w:t>课程定位</w:t>
      </w:r>
      <w:bookmarkEnd w:id="7"/>
      <w:bookmarkEnd w:id="8"/>
      <w:bookmarkEnd w:id="9"/>
    </w:p>
    <w:p w14:paraId="7B8F15EA">
      <w:pPr>
        <w:pageBreakBefore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sz w:val="21"/>
          <w:szCs w:val="21"/>
          <w:lang w:eastAsia="zh-CN"/>
        </w:rPr>
      </w:pPr>
      <w:r>
        <w:rPr>
          <w:rFonts w:hint="eastAsia" w:ascii="宋体" w:hAnsi="宋体" w:eastAsia="宋体" w:cs="宋体"/>
          <w:sz w:val="24"/>
          <w:szCs w:val="24"/>
        </w:rPr>
        <w:drawing>
          <wp:inline distT="0" distB="0" distL="114300" distR="114300">
            <wp:extent cx="5941695" cy="3238500"/>
            <wp:effectExtent l="0" t="0" r="1905" b="0"/>
            <wp:docPr id="39"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 descr="IMG_256"/>
                    <pic:cNvPicPr>
                      <a:picLocks noChangeAspect="1"/>
                    </pic:cNvPicPr>
                  </pic:nvPicPr>
                  <pic:blipFill>
                    <a:blip r:embed="rId19"/>
                    <a:stretch>
                      <a:fillRect/>
                    </a:stretch>
                  </pic:blipFill>
                  <pic:spPr>
                    <a:xfrm>
                      <a:off x="0" y="0"/>
                      <a:ext cx="5941695" cy="3238500"/>
                    </a:xfrm>
                    <a:prstGeom prst="rect">
                      <a:avLst/>
                    </a:prstGeom>
                    <a:noFill/>
                    <a:ln w="9525">
                      <a:noFill/>
                    </a:ln>
                  </pic:spPr>
                </pic:pic>
              </a:graphicData>
            </a:graphic>
          </wp:inline>
        </w:drawing>
      </w:r>
    </w:p>
    <w:p w14:paraId="1CD71A1F">
      <w:pPr>
        <w:pageBreakBefore w:val="0"/>
        <w:kinsoku/>
        <w:wordWrap/>
        <w:overflowPunct/>
        <w:topLinePunct w:val="0"/>
        <w:autoSpaceDE/>
        <w:autoSpaceDN/>
        <w:bidi w:val="0"/>
        <w:adjustRightInd w:val="0"/>
        <w:snapToGrid w:val="0"/>
        <w:spacing w:line="360" w:lineRule="auto"/>
        <w:ind w:firstLine="42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融合AI、RPA技术，金融建模、金融大数据挖掘</w:t>
      </w:r>
      <w:r>
        <w:rPr>
          <w:rFonts w:hint="eastAsia" w:ascii="宋体" w:hAnsi="宋体" w:eastAsia="宋体" w:cs="宋体"/>
          <w:sz w:val="21"/>
          <w:szCs w:val="21"/>
        </w:rPr>
        <w:t>已成为金融科技专业实训体系重要的一部分，基于能力的金融科技专业实训体系由业务决策场景实训、基础软件实训、数据分析实训、综合实训组成，智能数据机器人实训正属于金融科技专业的数据分析实训，该实训对学生的数据分析能力提升非常重要。现在市面上已有经济数据分析实训、商务数据分析实训、智能数据机器人实训等，</w:t>
      </w:r>
      <w:r>
        <w:rPr>
          <w:rFonts w:hint="eastAsia" w:ascii="宋体" w:hAnsi="宋体" w:eastAsia="宋体" w:cs="宋体"/>
          <w:sz w:val="21"/>
          <w:szCs w:val="21"/>
          <w:lang w:eastAsia="zh-CN"/>
        </w:rPr>
        <w:t>AI金融计量教学平台</w:t>
      </w:r>
      <w:r>
        <w:rPr>
          <w:rFonts w:hint="eastAsia" w:ascii="宋体" w:hAnsi="宋体" w:eastAsia="宋体" w:cs="宋体"/>
          <w:sz w:val="21"/>
          <w:szCs w:val="21"/>
        </w:rPr>
        <w:t>属于智能数据机器人实训。</w:t>
      </w:r>
    </w:p>
    <w:p w14:paraId="06230929">
      <w:pPr>
        <w:pageBreakBefore w:val="0"/>
        <w:kinsoku/>
        <w:wordWrap/>
        <w:overflowPunct/>
        <w:topLinePunct w:val="0"/>
        <w:autoSpaceDE/>
        <w:autoSpaceDN/>
        <w:bidi w:val="0"/>
        <w:adjustRightInd w:val="0"/>
        <w:snapToGrid w:val="0"/>
        <w:spacing w:line="360" w:lineRule="auto"/>
        <w:ind w:firstLine="420"/>
        <w:textAlignment w:val="auto"/>
        <w:rPr>
          <w:rFonts w:hint="eastAsia" w:ascii="宋体" w:hAnsi="宋体" w:eastAsia="宋体" w:cs="宋体"/>
          <w:sz w:val="21"/>
          <w:szCs w:val="21"/>
        </w:rPr>
      </w:pPr>
      <w:r>
        <w:rPr>
          <w:rFonts w:hint="eastAsia" w:ascii="宋体" w:hAnsi="宋体" w:eastAsia="宋体" w:cs="宋体"/>
          <w:sz w:val="21"/>
          <w:szCs w:val="21"/>
        </w:rPr>
        <w:t>建议开课时间：大二或大三。</w:t>
      </w:r>
    </w:p>
    <w:p w14:paraId="419A32D8">
      <w:pPr>
        <w:pageBreakBefore w:val="0"/>
        <w:kinsoku/>
        <w:wordWrap/>
        <w:overflowPunct/>
        <w:topLinePunct w:val="0"/>
        <w:autoSpaceDE/>
        <w:autoSpaceDN/>
        <w:bidi w:val="0"/>
        <w:adjustRightInd w:val="0"/>
        <w:snapToGrid w:val="0"/>
        <w:spacing w:line="360" w:lineRule="auto"/>
        <w:ind w:firstLine="420"/>
        <w:textAlignment w:val="auto"/>
        <w:rPr>
          <w:rFonts w:hint="eastAsia" w:ascii="宋体" w:hAnsi="宋体" w:eastAsia="宋体" w:cs="宋体"/>
          <w:sz w:val="21"/>
          <w:szCs w:val="21"/>
        </w:rPr>
      </w:pPr>
      <w:r>
        <w:rPr>
          <w:rFonts w:hint="eastAsia" w:ascii="宋体" w:hAnsi="宋体" w:eastAsia="宋体" w:cs="宋体"/>
          <w:sz w:val="21"/>
          <w:szCs w:val="21"/>
        </w:rPr>
        <w:t>建议课时：</w:t>
      </w:r>
      <w:bookmarkStart w:id="10" w:name="_Hlk160020372"/>
      <w:r>
        <w:rPr>
          <w:rFonts w:hint="eastAsia" w:ascii="宋体" w:hAnsi="宋体" w:eastAsia="宋体" w:cs="宋体"/>
          <w:sz w:val="21"/>
          <w:szCs w:val="21"/>
          <w:lang w:val="en-US" w:eastAsia="zh-CN"/>
        </w:rPr>
        <w:t>每个案例6-8课时，可选择任意实验教学</w:t>
      </w:r>
      <w:r>
        <w:rPr>
          <w:rFonts w:hint="eastAsia" w:ascii="宋体" w:hAnsi="宋体" w:eastAsia="宋体" w:cs="宋体"/>
          <w:sz w:val="21"/>
          <w:szCs w:val="21"/>
        </w:rPr>
        <w:t>。</w:t>
      </w:r>
      <w:bookmarkEnd w:id="10"/>
    </w:p>
    <w:p w14:paraId="1ECEE853">
      <w:pPr>
        <w:keepNext/>
        <w:keepLines/>
        <w:pageBreakBefore w:val="0"/>
        <w:numPr>
          <w:ilvl w:val="0"/>
          <w:numId w:val="1"/>
        </w:numPr>
        <w:kinsoku/>
        <w:wordWrap/>
        <w:overflowPunct/>
        <w:topLinePunct w:val="0"/>
        <w:autoSpaceDE/>
        <w:autoSpaceDN/>
        <w:bidi w:val="0"/>
        <w:adjustRightInd w:val="0"/>
        <w:snapToGrid w:val="0"/>
        <w:spacing w:line="360" w:lineRule="auto"/>
        <w:ind w:left="0" w:firstLine="403" w:firstLineChars="0"/>
        <w:textAlignment w:val="auto"/>
        <w:outlineLvl w:val="0"/>
        <w:rPr>
          <w:rFonts w:hint="eastAsia" w:ascii="宋体" w:hAnsi="宋体" w:eastAsia="宋体" w:cs="宋体"/>
          <w:sz w:val="24"/>
        </w:rPr>
      </w:pPr>
      <w:bookmarkStart w:id="11" w:name="_Toc25758"/>
      <w:bookmarkStart w:id="12" w:name="_Toc22384"/>
      <w:bookmarkStart w:id="13" w:name="_Toc22491"/>
      <w:r>
        <w:rPr>
          <w:rFonts w:hint="eastAsia" w:ascii="宋体" w:hAnsi="宋体" w:eastAsia="宋体" w:cs="宋体"/>
          <w:b/>
          <w:kern w:val="44"/>
          <w:sz w:val="24"/>
        </w:rPr>
        <w:t>实验内容与项目概述</w:t>
      </w:r>
      <w:bookmarkEnd w:id="11"/>
      <w:bookmarkEnd w:id="12"/>
      <w:bookmarkEnd w:id="13"/>
      <w:r>
        <w:rPr>
          <w:rFonts w:hint="eastAsia" w:ascii="宋体" w:hAnsi="宋体" w:eastAsia="宋体" w:cs="宋体"/>
          <w:sz w:val="24"/>
        </w:rPr>
        <w:tab/>
      </w:r>
    </w:p>
    <w:p w14:paraId="03A7D784">
      <w:pPr>
        <w:pStyle w:val="4"/>
        <w:pageBreakBefore w:val="0"/>
        <w:widowControl w:val="0"/>
        <w:numPr>
          <w:ilvl w:val="0"/>
          <w:numId w:val="3"/>
        </w:numPr>
        <w:kinsoku/>
        <w:wordWrap/>
        <w:overflowPunct/>
        <w:topLinePunct w:val="0"/>
        <w:autoSpaceDE/>
        <w:autoSpaceDN/>
        <w:bidi w:val="0"/>
        <w:adjustRightInd w:val="0"/>
        <w:snapToGrid w:val="0"/>
        <w:spacing w:before="0" w:beforeAutospacing="0" w:after="0" w:afterAutospacing="0" w:line="360" w:lineRule="auto"/>
        <w:ind w:right="0" w:firstLine="403" w:firstLineChars="0"/>
        <w:textAlignment w:val="auto"/>
        <w:outlineLvl w:val="1"/>
        <w:rPr>
          <w:rFonts w:hint="eastAsia" w:ascii="宋体" w:hAnsi="宋体" w:eastAsia="宋体" w:cs="宋体"/>
          <w:sz w:val="24"/>
        </w:rPr>
      </w:pPr>
      <w:bookmarkStart w:id="14" w:name="_Toc18447"/>
      <w:bookmarkStart w:id="15" w:name="_Toc18829"/>
      <w:bookmarkStart w:id="16" w:name="_Toc23725"/>
      <w:r>
        <w:rPr>
          <w:rFonts w:hint="eastAsia" w:ascii="宋体" w:hAnsi="宋体" w:eastAsia="宋体" w:cs="宋体"/>
          <w:sz w:val="24"/>
          <w:lang w:val="en-US" w:eastAsia="zh-CN"/>
        </w:rPr>
        <w:t>AI金融计量教学平台简介</w:t>
      </w:r>
      <w:bookmarkEnd w:id="14"/>
      <w:bookmarkEnd w:id="15"/>
      <w:bookmarkEnd w:id="16"/>
    </w:p>
    <w:p w14:paraId="2FBA8013">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b/>
          <w:bCs/>
          <w:sz w:val="21"/>
          <w:szCs w:val="21"/>
          <w:lang w:val="en-US" w:eastAsia="zh-CN"/>
        </w:rPr>
      </w:pPr>
      <w:r>
        <w:rPr>
          <w:rFonts w:hint="eastAsia" w:ascii="宋体" w:hAnsi="宋体" w:eastAsia="宋体" w:cs="宋体"/>
          <w:b/>
          <w:bCs/>
          <w:sz w:val="21"/>
          <w:szCs w:val="21"/>
          <w:lang w:val="en-US" w:eastAsia="zh-CN"/>
        </w:rPr>
        <w:t>AI金融计量教学平台可涵盖8大单元：</w:t>
      </w:r>
    </w:p>
    <w:p w14:paraId="17D8770D">
      <w:pPr>
        <w:pageBreakBefore w:val="0"/>
        <w:widowControl w:val="0"/>
        <w:numPr>
          <w:ilvl w:val="0"/>
          <w:numId w:val="4"/>
        </w:numPr>
        <w:tabs>
          <w:tab w:val="left" w:pos="840"/>
        </w:tabs>
        <w:kinsoku/>
        <w:wordWrap/>
        <w:overflowPunct/>
        <w:topLinePunct w:val="0"/>
        <w:autoSpaceDE/>
        <w:autoSpaceDN/>
        <w:bidi w:val="0"/>
        <w:adjustRightInd w:val="0"/>
        <w:snapToGrid w:val="0"/>
        <w:spacing w:beforeAutospacing="0" w:afterAutospacing="0" w:line="360" w:lineRule="auto"/>
        <w:ind w:left="839" w:right="0" w:firstLine="105" w:firstLineChars="5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顶刊论文结构拆解</w:t>
      </w:r>
    </w:p>
    <w:p w14:paraId="2C829F1B">
      <w:pPr>
        <w:pageBreakBefore w:val="0"/>
        <w:widowControl w:val="0"/>
        <w:numPr>
          <w:ilvl w:val="0"/>
          <w:numId w:val="4"/>
        </w:numPr>
        <w:tabs>
          <w:tab w:val="left" w:pos="840"/>
        </w:tabs>
        <w:kinsoku/>
        <w:wordWrap/>
        <w:overflowPunct/>
        <w:topLinePunct w:val="0"/>
        <w:autoSpaceDE/>
        <w:autoSpaceDN/>
        <w:bidi w:val="0"/>
        <w:adjustRightInd w:val="0"/>
        <w:snapToGrid w:val="0"/>
        <w:spacing w:beforeAutospacing="0" w:afterAutospacing="0" w:line="360" w:lineRule="auto"/>
        <w:ind w:left="839" w:right="0" w:firstLine="105" w:firstLineChars="50"/>
        <w:textAlignment w:val="auto"/>
        <w:rPr>
          <w:rFonts w:hint="eastAsia" w:ascii="宋体" w:hAnsi="宋体" w:eastAsia="宋体" w:cs="宋体"/>
          <w:sz w:val="21"/>
          <w:szCs w:val="21"/>
          <w:lang w:bidi="ar"/>
        </w:rPr>
      </w:pPr>
      <w:r>
        <w:rPr>
          <w:rFonts w:hint="eastAsia" w:ascii="宋体" w:hAnsi="宋体" w:eastAsia="宋体" w:cs="宋体"/>
          <w:sz w:val="21"/>
          <w:szCs w:val="21"/>
          <w:lang w:eastAsia="zh-CN" w:bidi="ar"/>
        </w:rPr>
        <w:t>AI选题</w:t>
      </w:r>
    </w:p>
    <w:p w14:paraId="2875CC01">
      <w:pPr>
        <w:pageBreakBefore w:val="0"/>
        <w:widowControl w:val="0"/>
        <w:numPr>
          <w:ilvl w:val="0"/>
          <w:numId w:val="4"/>
        </w:numPr>
        <w:tabs>
          <w:tab w:val="left" w:pos="840"/>
        </w:tabs>
        <w:kinsoku/>
        <w:wordWrap/>
        <w:overflowPunct/>
        <w:topLinePunct w:val="0"/>
        <w:autoSpaceDE/>
        <w:autoSpaceDN/>
        <w:bidi w:val="0"/>
        <w:adjustRightInd w:val="0"/>
        <w:snapToGrid w:val="0"/>
        <w:spacing w:beforeAutospacing="0" w:afterAutospacing="0" w:line="360" w:lineRule="auto"/>
        <w:ind w:left="839" w:right="0" w:firstLine="105" w:firstLineChars="50"/>
        <w:textAlignment w:val="auto"/>
        <w:rPr>
          <w:rFonts w:hint="eastAsia" w:ascii="宋体" w:hAnsi="宋体" w:eastAsia="宋体" w:cs="宋体"/>
          <w:sz w:val="21"/>
          <w:szCs w:val="21"/>
          <w:lang w:bidi="ar"/>
        </w:rPr>
      </w:pPr>
      <w:r>
        <w:rPr>
          <w:rFonts w:hint="eastAsia" w:ascii="宋体" w:hAnsi="宋体" w:eastAsia="宋体" w:cs="宋体"/>
          <w:sz w:val="21"/>
          <w:szCs w:val="21"/>
          <w:lang w:bidi="ar"/>
        </w:rPr>
        <w:t>研究主题论证</w:t>
      </w:r>
    </w:p>
    <w:p w14:paraId="3AFD5AA5">
      <w:pPr>
        <w:pageBreakBefore w:val="0"/>
        <w:widowControl w:val="0"/>
        <w:numPr>
          <w:ilvl w:val="0"/>
          <w:numId w:val="4"/>
        </w:numPr>
        <w:tabs>
          <w:tab w:val="left" w:pos="840"/>
        </w:tabs>
        <w:kinsoku/>
        <w:wordWrap/>
        <w:overflowPunct/>
        <w:topLinePunct w:val="0"/>
        <w:autoSpaceDE/>
        <w:autoSpaceDN/>
        <w:bidi w:val="0"/>
        <w:adjustRightInd w:val="0"/>
        <w:snapToGrid w:val="0"/>
        <w:spacing w:beforeAutospacing="0" w:afterAutospacing="0" w:line="360" w:lineRule="auto"/>
        <w:ind w:left="839" w:right="0" w:firstLine="105" w:firstLineChars="50"/>
        <w:textAlignment w:val="auto"/>
        <w:rPr>
          <w:rFonts w:hint="eastAsia" w:ascii="宋体" w:hAnsi="宋体" w:eastAsia="宋体" w:cs="宋体"/>
          <w:sz w:val="21"/>
          <w:szCs w:val="21"/>
          <w:lang w:bidi="ar"/>
        </w:rPr>
      </w:pPr>
      <w:r>
        <w:rPr>
          <w:rFonts w:hint="eastAsia" w:ascii="宋体" w:hAnsi="宋体" w:eastAsia="宋体" w:cs="宋体"/>
          <w:sz w:val="21"/>
          <w:szCs w:val="21"/>
          <w:lang w:bidi="ar"/>
        </w:rPr>
        <w:t>提出假说</w:t>
      </w:r>
    </w:p>
    <w:p w14:paraId="121EA57D">
      <w:pPr>
        <w:pageBreakBefore w:val="0"/>
        <w:widowControl w:val="0"/>
        <w:numPr>
          <w:ilvl w:val="0"/>
          <w:numId w:val="4"/>
        </w:numPr>
        <w:tabs>
          <w:tab w:val="left" w:pos="840"/>
        </w:tabs>
        <w:kinsoku/>
        <w:wordWrap/>
        <w:overflowPunct/>
        <w:topLinePunct w:val="0"/>
        <w:autoSpaceDE/>
        <w:autoSpaceDN/>
        <w:bidi w:val="0"/>
        <w:adjustRightInd w:val="0"/>
        <w:snapToGrid w:val="0"/>
        <w:spacing w:beforeAutospacing="0" w:afterAutospacing="0" w:line="360" w:lineRule="auto"/>
        <w:ind w:left="839" w:right="0" w:firstLine="105" w:firstLineChars="50"/>
        <w:textAlignment w:val="auto"/>
        <w:rPr>
          <w:rFonts w:hint="eastAsia" w:ascii="宋体" w:hAnsi="宋体" w:eastAsia="宋体" w:cs="宋体"/>
          <w:sz w:val="21"/>
          <w:szCs w:val="21"/>
          <w:lang w:bidi="ar"/>
        </w:rPr>
      </w:pPr>
      <w:r>
        <w:rPr>
          <w:rFonts w:hint="eastAsia" w:ascii="宋体" w:hAnsi="宋体" w:eastAsia="宋体" w:cs="宋体"/>
          <w:sz w:val="21"/>
          <w:szCs w:val="21"/>
          <w:lang w:bidi="ar"/>
        </w:rPr>
        <w:t>实证分析</w:t>
      </w:r>
    </w:p>
    <w:p w14:paraId="50BE007A">
      <w:pPr>
        <w:pageBreakBefore w:val="0"/>
        <w:widowControl w:val="0"/>
        <w:numPr>
          <w:ilvl w:val="0"/>
          <w:numId w:val="4"/>
        </w:numPr>
        <w:tabs>
          <w:tab w:val="left" w:pos="840"/>
        </w:tabs>
        <w:kinsoku/>
        <w:wordWrap/>
        <w:overflowPunct/>
        <w:topLinePunct w:val="0"/>
        <w:autoSpaceDE/>
        <w:autoSpaceDN/>
        <w:bidi w:val="0"/>
        <w:adjustRightInd w:val="0"/>
        <w:snapToGrid w:val="0"/>
        <w:spacing w:beforeAutospacing="0" w:afterAutospacing="0" w:line="360" w:lineRule="auto"/>
        <w:ind w:left="839" w:right="0" w:firstLine="105" w:firstLineChars="50"/>
        <w:textAlignment w:val="auto"/>
        <w:rPr>
          <w:rFonts w:hint="eastAsia" w:ascii="宋体" w:hAnsi="宋体" w:eastAsia="宋体" w:cs="宋体"/>
          <w:sz w:val="21"/>
          <w:szCs w:val="21"/>
          <w:lang w:bidi="ar"/>
        </w:rPr>
      </w:pPr>
      <w:r>
        <w:rPr>
          <w:rFonts w:hint="eastAsia" w:ascii="宋体" w:hAnsi="宋体" w:eastAsia="宋体" w:cs="宋体"/>
          <w:sz w:val="21"/>
          <w:szCs w:val="21"/>
          <w:lang w:bidi="ar"/>
        </w:rPr>
        <w:t>结果解读</w:t>
      </w:r>
    </w:p>
    <w:p w14:paraId="44D067F7">
      <w:pPr>
        <w:pageBreakBefore w:val="0"/>
        <w:widowControl w:val="0"/>
        <w:numPr>
          <w:ilvl w:val="0"/>
          <w:numId w:val="4"/>
        </w:numPr>
        <w:tabs>
          <w:tab w:val="left" w:pos="840"/>
        </w:tabs>
        <w:kinsoku/>
        <w:wordWrap/>
        <w:overflowPunct/>
        <w:topLinePunct w:val="0"/>
        <w:autoSpaceDE/>
        <w:autoSpaceDN/>
        <w:bidi w:val="0"/>
        <w:adjustRightInd w:val="0"/>
        <w:snapToGrid w:val="0"/>
        <w:spacing w:beforeAutospacing="0" w:afterAutospacing="0" w:line="360" w:lineRule="auto"/>
        <w:ind w:left="839" w:right="0" w:firstLine="105" w:firstLineChars="50"/>
        <w:textAlignment w:val="auto"/>
        <w:rPr>
          <w:rFonts w:hint="eastAsia" w:ascii="宋体" w:hAnsi="宋体" w:eastAsia="宋体" w:cs="宋体"/>
          <w:sz w:val="21"/>
          <w:szCs w:val="21"/>
          <w:lang w:bidi="ar"/>
        </w:rPr>
      </w:pPr>
      <w:r>
        <w:rPr>
          <w:rFonts w:hint="eastAsia" w:ascii="宋体" w:hAnsi="宋体" w:eastAsia="宋体" w:cs="宋体"/>
          <w:sz w:val="21"/>
          <w:szCs w:val="21"/>
          <w:lang w:bidi="ar"/>
        </w:rPr>
        <w:t>研究背景、理论分析、假设论证</w:t>
      </w:r>
    </w:p>
    <w:p w14:paraId="2D0272FE">
      <w:pPr>
        <w:pageBreakBefore w:val="0"/>
        <w:widowControl w:val="0"/>
        <w:numPr>
          <w:ilvl w:val="0"/>
          <w:numId w:val="4"/>
        </w:numPr>
        <w:tabs>
          <w:tab w:val="left" w:pos="840"/>
        </w:tabs>
        <w:kinsoku/>
        <w:wordWrap/>
        <w:overflowPunct/>
        <w:topLinePunct w:val="0"/>
        <w:autoSpaceDE/>
        <w:autoSpaceDN/>
        <w:bidi w:val="0"/>
        <w:adjustRightInd w:val="0"/>
        <w:snapToGrid w:val="0"/>
        <w:spacing w:beforeAutospacing="0" w:afterAutospacing="0" w:line="360" w:lineRule="auto"/>
        <w:ind w:left="839" w:right="0" w:firstLine="105" w:firstLineChars="50"/>
        <w:textAlignment w:val="auto"/>
        <w:rPr>
          <w:rFonts w:hint="eastAsia" w:ascii="宋体" w:hAnsi="宋体" w:eastAsia="宋体" w:cs="宋体"/>
          <w:sz w:val="21"/>
          <w:szCs w:val="21"/>
          <w:lang w:bidi="ar"/>
        </w:rPr>
      </w:pPr>
      <w:r>
        <w:rPr>
          <w:rFonts w:hint="eastAsia" w:ascii="宋体" w:hAnsi="宋体" w:eastAsia="宋体" w:cs="宋体"/>
          <w:sz w:val="21"/>
          <w:szCs w:val="21"/>
          <w:lang w:eastAsia="zh-CN" w:bidi="ar"/>
        </w:rPr>
        <w:t>润色与AI审稿</w:t>
      </w:r>
    </w:p>
    <w:p w14:paraId="56740641">
      <w:pPr>
        <w:pageBreakBefore w:val="0"/>
        <w:kinsoku/>
        <w:wordWrap/>
        <w:overflowPunct/>
        <w:topLinePunct w:val="0"/>
        <w:autoSpaceDE/>
        <w:autoSpaceDN/>
        <w:bidi w:val="0"/>
        <w:adjustRightInd w:val="0"/>
        <w:snapToGrid w:val="0"/>
        <w:spacing w:line="360" w:lineRule="auto"/>
        <w:textAlignment w:val="auto"/>
        <w:rPr>
          <w:rFonts w:hint="eastAsia" w:ascii="宋体" w:hAnsi="宋体" w:eastAsia="宋体" w:cs="宋体"/>
        </w:rPr>
      </w:pPr>
    </w:p>
    <w:p w14:paraId="30E4F946">
      <w:pPr>
        <w:pStyle w:val="6"/>
        <w:keepNext/>
        <w:keepLines/>
        <w:pageBreakBefore w:val="0"/>
        <w:widowControl w:val="0"/>
        <w:numPr>
          <w:ilvl w:val="1"/>
          <w:numId w:val="5"/>
        </w:numPr>
        <w:tabs>
          <w:tab w:val="left" w:pos="1320"/>
        </w:tabs>
        <w:kinsoku/>
        <w:wordWrap/>
        <w:overflowPunct/>
        <w:topLinePunct w:val="0"/>
        <w:autoSpaceDE/>
        <w:autoSpaceDN/>
        <w:bidi w:val="0"/>
        <w:adjustRightInd w:val="0"/>
        <w:snapToGrid w:val="0"/>
        <w:spacing w:beforeAutospacing="0" w:afterAutospacing="0" w:line="360" w:lineRule="auto"/>
        <w:ind w:left="0" w:right="0" w:firstLine="422" w:firstLineChars="200"/>
        <w:textAlignment w:val="auto"/>
        <w:outlineLvl w:val="2"/>
        <w:rPr>
          <w:rFonts w:hint="eastAsia" w:ascii="宋体" w:hAnsi="宋体" w:eastAsia="宋体" w:cs="宋体"/>
          <w:b/>
          <w:sz w:val="21"/>
          <w:szCs w:val="21"/>
        </w:rPr>
      </w:pPr>
      <w:bookmarkStart w:id="17" w:name="_Toc25122"/>
      <w:bookmarkStart w:id="18" w:name="_Toc9319"/>
      <w:bookmarkStart w:id="19" w:name="_Toc24410"/>
      <w:bookmarkStart w:id="20" w:name="_Toc30764"/>
      <w:r>
        <w:rPr>
          <w:rFonts w:hint="eastAsia" w:ascii="宋体" w:hAnsi="宋体" w:eastAsia="宋体" w:cs="宋体"/>
          <w:b/>
          <w:sz w:val="21"/>
          <w:szCs w:val="21"/>
          <w:lang w:val="en-US" w:eastAsia="zh-CN"/>
        </w:rPr>
        <w:t>顶刊论文结构拆解</w:t>
      </w:r>
      <w:bookmarkEnd w:id="17"/>
      <w:bookmarkEnd w:id="18"/>
      <w:bookmarkEnd w:id="19"/>
      <w:bookmarkEnd w:id="20"/>
    </w:p>
    <w:p w14:paraId="2EBFC1D7">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rPr>
      </w:pPr>
      <w:r>
        <w:rPr>
          <w:rFonts w:hint="eastAsia" w:ascii="宋体" w:hAnsi="宋体" w:eastAsia="宋体" w:cs="宋体"/>
          <w:sz w:val="21"/>
          <w:szCs w:val="21"/>
          <w:lang w:val="en-US" w:eastAsia="zh-CN"/>
        </w:rPr>
        <w:t>实验背景</w:t>
      </w:r>
    </w:p>
    <w:p w14:paraId="7930EBBF">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作为科研小白，需要从海量文献阅读中获取思路，也常需要花到两到三个月时间总结整理，面对大量中文、外文文献阅读，常觉费尽神思，越来越需要相关工具辅助拆解顶刊论文结构，实现精读、深读。</w:t>
      </w:r>
    </w:p>
    <w:p w14:paraId="19A5BA19">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b/>
          <w:sz w:val="21"/>
          <w:szCs w:val="21"/>
          <w:lang w:val="en-US" w:eastAsia="zh-CN"/>
        </w:rPr>
      </w:pPr>
      <w:r>
        <w:rPr>
          <w:rFonts w:hint="eastAsia" w:ascii="宋体" w:hAnsi="宋体" w:eastAsia="宋体" w:cs="宋体"/>
          <w:b/>
          <w:sz w:val="21"/>
          <w:szCs w:val="21"/>
          <w:lang w:val="en-US" w:eastAsia="zh-CN"/>
        </w:rPr>
        <w:t>实验内容</w:t>
      </w:r>
    </w:p>
    <w:p w14:paraId="07B53CB7">
      <w:pPr>
        <w:pageBreakBefore w:val="0"/>
        <w:widowControl w:val="0"/>
        <w:kinsoku/>
        <w:wordWrap/>
        <w:overflowPunct/>
        <w:topLinePunct w:val="0"/>
        <w:autoSpaceDE/>
        <w:autoSpaceDN/>
        <w:bidi w:val="0"/>
        <w:adjustRightInd w:val="0"/>
        <w:snapToGrid w:val="0"/>
        <w:spacing w:beforeAutospacing="0" w:afterAutospacing="0" w:line="360" w:lineRule="auto"/>
        <w:ind w:right="0" w:firstLine="360"/>
        <w:jc w:val="center"/>
        <w:textAlignment w:val="auto"/>
        <w:rPr>
          <w:rFonts w:hint="eastAsia" w:ascii="宋体" w:hAnsi="宋体" w:eastAsia="宋体" w:cs="宋体"/>
          <w:sz w:val="18"/>
          <w:szCs w:val="18"/>
          <w:lang w:val="en-US" w:eastAsia="zh-CN" w:bidi="ar"/>
        </w:rPr>
      </w:pPr>
      <w:r>
        <w:rPr>
          <w:rFonts w:hint="eastAsia" w:ascii="宋体" w:hAnsi="宋体" w:eastAsia="宋体" w:cs="宋体"/>
          <w:sz w:val="18"/>
          <w:szCs w:val="18"/>
          <w:lang w:bidi="ar"/>
        </w:rPr>
        <w:t>表</w:t>
      </w:r>
      <w:r>
        <w:rPr>
          <w:rFonts w:hint="eastAsia" w:ascii="宋体" w:hAnsi="宋体" w:eastAsia="宋体" w:cs="宋体"/>
          <w:sz w:val="18"/>
          <w:szCs w:val="18"/>
          <w:lang w:val="en-US" w:eastAsia="zh-CN" w:bidi="ar"/>
        </w:rPr>
        <w:t>1顶刊论文结构拆解</w:t>
      </w:r>
    </w:p>
    <w:tbl>
      <w:tblPr>
        <w:tblStyle w:val="18"/>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6"/>
        <w:gridCol w:w="1109"/>
        <w:gridCol w:w="5058"/>
        <w:gridCol w:w="1356"/>
      </w:tblGrid>
      <w:tr w14:paraId="7BAE10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226" w:type="dxa"/>
            <w:shd w:val="clear" w:color="auto" w:fill="E6E6E6"/>
            <w:noWrap w:val="0"/>
            <w:vAlign w:val="center"/>
          </w:tcPr>
          <w:p w14:paraId="30C4919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一级模块</w:t>
            </w:r>
          </w:p>
        </w:tc>
        <w:tc>
          <w:tcPr>
            <w:tcW w:w="1109" w:type="dxa"/>
            <w:shd w:val="clear" w:color="auto" w:fill="E6E6E6"/>
            <w:noWrap w:val="0"/>
            <w:vAlign w:val="center"/>
          </w:tcPr>
          <w:p w14:paraId="1D3C451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二级模块</w:t>
            </w:r>
          </w:p>
        </w:tc>
        <w:tc>
          <w:tcPr>
            <w:tcW w:w="5058" w:type="dxa"/>
            <w:shd w:val="clear" w:color="auto" w:fill="E6E6E6"/>
            <w:noWrap w:val="0"/>
            <w:vAlign w:val="center"/>
          </w:tcPr>
          <w:p w14:paraId="5383557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实验项目名称</w:t>
            </w:r>
          </w:p>
        </w:tc>
        <w:tc>
          <w:tcPr>
            <w:tcW w:w="1356" w:type="dxa"/>
            <w:shd w:val="clear" w:color="auto" w:fill="E6E6E6"/>
            <w:noWrap w:val="0"/>
            <w:vAlign w:val="center"/>
          </w:tcPr>
          <w:p w14:paraId="2CB955D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涉及平台</w:t>
            </w:r>
          </w:p>
        </w:tc>
      </w:tr>
      <w:tr w14:paraId="737284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226" w:type="dxa"/>
            <w:vMerge w:val="restart"/>
            <w:noWrap w:val="0"/>
            <w:vAlign w:val="center"/>
          </w:tcPr>
          <w:p w14:paraId="729E5B78">
            <w:pPr>
              <w:pageBreakBefore w:val="0"/>
              <w:widowControl w:val="0"/>
              <w:tabs>
                <w:tab w:val="left" w:pos="1320"/>
              </w:tabs>
              <w:kinsoku/>
              <w:wordWrap/>
              <w:overflowPunct/>
              <w:topLinePunct w:val="0"/>
              <w:autoSpaceDE/>
              <w:autoSpaceDN/>
              <w:bidi w:val="0"/>
              <w:adjustRightInd w:val="0"/>
              <w:snapToGrid w:val="0"/>
              <w:spacing w:beforeAutospacing="0" w:afterAutospacing="0" w:line="360" w:lineRule="auto"/>
              <w:ind w:right="0" w:firstLine="0" w:firstLineChars="0"/>
              <w:jc w:val="center"/>
              <w:textAlignment w:val="auto"/>
              <w:rPr>
                <w:rFonts w:hint="eastAsia" w:ascii="宋体" w:hAnsi="宋体" w:eastAsia="宋体" w:cs="宋体"/>
                <w:sz w:val="18"/>
                <w:szCs w:val="18"/>
                <w:lang w:bidi="ar"/>
              </w:rPr>
            </w:pPr>
            <w:r>
              <w:rPr>
                <w:rFonts w:hint="eastAsia" w:ascii="宋体" w:hAnsi="宋体" w:eastAsia="宋体" w:cs="宋体"/>
                <w:sz w:val="18"/>
                <w:szCs w:val="18"/>
                <w:lang w:bidi="ar"/>
              </w:rPr>
              <w:br w:type="textWrapping"/>
            </w:r>
            <w:r>
              <w:rPr>
                <w:rFonts w:hint="eastAsia" w:ascii="宋体" w:hAnsi="宋体" w:eastAsia="宋体" w:cs="宋体"/>
                <w:sz w:val="18"/>
                <w:szCs w:val="18"/>
                <w:lang w:bidi="ar"/>
              </w:rPr>
              <w:t>顶刊论文结构拆解</w:t>
            </w:r>
          </w:p>
          <w:p w14:paraId="2EEBD5A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109" w:type="dxa"/>
            <w:vMerge w:val="restart"/>
            <w:noWrap w:val="0"/>
            <w:vAlign w:val="center"/>
          </w:tcPr>
          <w:p w14:paraId="3B2DA6A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实验准备</w:t>
            </w:r>
          </w:p>
        </w:tc>
        <w:tc>
          <w:tcPr>
            <w:tcW w:w="5058" w:type="dxa"/>
            <w:noWrap w:val="0"/>
            <w:vAlign w:val="center"/>
          </w:tcPr>
          <w:p w14:paraId="7EA6C51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选取目标顶刊论文</w:t>
            </w:r>
          </w:p>
        </w:tc>
        <w:tc>
          <w:tcPr>
            <w:tcW w:w="1356" w:type="dxa"/>
            <w:vMerge w:val="restart"/>
            <w:noWrap w:val="0"/>
            <w:vAlign w:val="center"/>
          </w:tcPr>
          <w:p w14:paraId="26C7E12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lang w:val="en-US" w:eastAsia="zh-CN"/>
              </w:rPr>
            </w:pPr>
            <w:r>
              <w:rPr>
                <w:rFonts w:hint="eastAsia" w:hAnsi="宋体" w:cs="宋体"/>
                <w:sz w:val="18"/>
                <w:szCs w:val="18"/>
                <w:lang w:val="en-US" w:eastAsia="zh-CN"/>
              </w:rPr>
              <w:t>AI金融计量教学平台</w:t>
            </w:r>
          </w:p>
          <w:p w14:paraId="01F5425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国内AI大模型</w:t>
            </w:r>
          </w:p>
        </w:tc>
      </w:tr>
      <w:tr w14:paraId="022CAC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226" w:type="dxa"/>
            <w:vMerge w:val="continue"/>
            <w:noWrap w:val="0"/>
            <w:vAlign w:val="center"/>
          </w:tcPr>
          <w:p w14:paraId="23FCCB2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109" w:type="dxa"/>
            <w:vMerge w:val="continue"/>
            <w:noWrap w:val="0"/>
            <w:vAlign w:val="center"/>
          </w:tcPr>
          <w:p w14:paraId="6BC3479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center"/>
          </w:tcPr>
          <w:p w14:paraId="08B109D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打开并登录数字经济AI平台，下载案例附件并解压</w:t>
            </w:r>
          </w:p>
        </w:tc>
        <w:tc>
          <w:tcPr>
            <w:tcW w:w="1356" w:type="dxa"/>
            <w:vMerge w:val="continue"/>
            <w:noWrap w:val="0"/>
            <w:vAlign w:val="center"/>
          </w:tcPr>
          <w:p w14:paraId="0C387B3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781C0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226" w:type="dxa"/>
            <w:vMerge w:val="continue"/>
            <w:noWrap w:val="0"/>
            <w:vAlign w:val="center"/>
          </w:tcPr>
          <w:p w14:paraId="7D53809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109" w:type="dxa"/>
            <w:vMerge w:val="continue"/>
            <w:noWrap w:val="0"/>
            <w:vAlign w:val="center"/>
          </w:tcPr>
          <w:p w14:paraId="7122044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center"/>
          </w:tcPr>
          <w:p w14:paraId="5E94A58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打开并登录国内AI平台</w:t>
            </w:r>
          </w:p>
        </w:tc>
        <w:tc>
          <w:tcPr>
            <w:tcW w:w="1356" w:type="dxa"/>
            <w:vMerge w:val="continue"/>
            <w:noWrap w:val="0"/>
            <w:vAlign w:val="center"/>
          </w:tcPr>
          <w:p w14:paraId="6F0D0A3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39EABB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226" w:type="dxa"/>
            <w:vMerge w:val="continue"/>
            <w:noWrap w:val="0"/>
            <w:vAlign w:val="center"/>
          </w:tcPr>
          <w:p w14:paraId="0B344F0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109" w:type="dxa"/>
            <w:vMerge w:val="restart"/>
            <w:noWrap w:val="0"/>
            <w:vAlign w:val="center"/>
          </w:tcPr>
          <w:p w14:paraId="1E7CD4C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实验实施步骤</w:t>
            </w:r>
          </w:p>
        </w:tc>
        <w:tc>
          <w:tcPr>
            <w:tcW w:w="5058" w:type="dxa"/>
            <w:noWrap w:val="0"/>
            <w:vAlign w:val="top"/>
          </w:tcPr>
          <w:p w14:paraId="6E10CB6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选择长文档解读</w:t>
            </w:r>
          </w:p>
        </w:tc>
        <w:tc>
          <w:tcPr>
            <w:tcW w:w="1356" w:type="dxa"/>
            <w:vMerge w:val="continue"/>
            <w:noWrap w:val="0"/>
            <w:vAlign w:val="center"/>
          </w:tcPr>
          <w:p w14:paraId="639F448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5BA0BA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226" w:type="dxa"/>
            <w:vMerge w:val="continue"/>
            <w:noWrap w:val="0"/>
            <w:vAlign w:val="center"/>
          </w:tcPr>
          <w:p w14:paraId="7194490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109" w:type="dxa"/>
            <w:vMerge w:val="continue"/>
            <w:noWrap w:val="0"/>
            <w:vAlign w:val="center"/>
          </w:tcPr>
          <w:p w14:paraId="6ACB650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top"/>
          </w:tcPr>
          <w:p w14:paraId="498915C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上传文档</w:t>
            </w:r>
          </w:p>
        </w:tc>
        <w:tc>
          <w:tcPr>
            <w:tcW w:w="1356" w:type="dxa"/>
            <w:vMerge w:val="continue"/>
            <w:noWrap w:val="0"/>
            <w:vAlign w:val="center"/>
          </w:tcPr>
          <w:p w14:paraId="2CA86F9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22E453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226" w:type="dxa"/>
            <w:vMerge w:val="continue"/>
            <w:noWrap w:val="0"/>
            <w:vAlign w:val="center"/>
          </w:tcPr>
          <w:p w14:paraId="0EA7F1C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109" w:type="dxa"/>
            <w:vMerge w:val="continue"/>
            <w:noWrap w:val="0"/>
            <w:vAlign w:val="center"/>
          </w:tcPr>
          <w:p w14:paraId="200D0D3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top"/>
          </w:tcPr>
          <w:p w14:paraId="3F58004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利用国内AI平台梳理整个文档的大纲</w:t>
            </w:r>
          </w:p>
        </w:tc>
        <w:tc>
          <w:tcPr>
            <w:tcW w:w="1356" w:type="dxa"/>
            <w:vMerge w:val="continue"/>
            <w:noWrap w:val="0"/>
            <w:vAlign w:val="center"/>
          </w:tcPr>
          <w:p w14:paraId="66AA4B7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6824A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226" w:type="dxa"/>
            <w:vMerge w:val="continue"/>
            <w:noWrap w:val="0"/>
            <w:vAlign w:val="center"/>
          </w:tcPr>
          <w:p w14:paraId="6124E16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109" w:type="dxa"/>
            <w:vMerge w:val="continue"/>
            <w:noWrap w:val="0"/>
            <w:vAlign w:val="center"/>
          </w:tcPr>
          <w:p w14:paraId="105292F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top"/>
          </w:tcPr>
          <w:p w14:paraId="4B80EBB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b/>
                <w:bCs/>
                <w:spacing w:val="10"/>
                <w:sz w:val="18"/>
                <w:szCs w:val="18"/>
                <w:lang w:val="en-US" w:eastAsia="zh-CN"/>
              </w:rPr>
            </w:pPr>
            <w:r>
              <w:rPr>
                <w:rFonts w:hint="eastAsia" w:hAnsi="宋体" w:cs="宋体"/>
                <w:b w:val="0"/>
                <w:bCs w:val="0"/>
                <w:spacing w:val="10"/>
                <w:sz w:val="18"/>
                <w:szCs w:val="18"/>
                <w:lang w:val="en-US" w:eastAsia="zh-CN"/>
              </w:rPr>
              <w:t>拆解</w:t>
            </w:r>
            <w:r>
              <w:rPr>
                <w:rFonts w:hint="eastAsia" w:ascii="宋体" w:hAnsi="宋体" w:eastAsia="宋体" w:cs="宋体"/>
                <w:b w:val="0"/>
                <w:bCs w:val="0"/>
                <w:spacing w:val="10"/>
                <w:sz w:val="18"/>
                <w:szCs w:val="18"/>
                <w:lang w:val="en-US" w:eastAsia="zh-CN"/>
              </w:rPr>
              <w:t>研究设计，借鉴仿写</w:t>
            </w:r>
          </w:p>
        </w:tc>
        <w:tc>
          <w:tcPr>
            <w:tcW w:w="1356" w:type="dxa"/>
            <w:vMerge w:val="continue"/>
            <w:noWrap w:val="0"/>
            <w:vAlign w:val="center"/>
          </w:tcPr>
          <w:p w14:paraId="070049F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7619AA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226" w:type="dxa"/>
            <w:vMerge w:val="continue"/>
            <w:noWrap w:val="0"/>
            <w:vAlign w:val="center"/>
          </w:tcPr>
          <w:p w14:paraId="4E4FA2D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109" w:type="dxa"/>
            <w:vMerge w:val="continue"/>
            <w:noWrap w:val="0"/>
            <w:vAlign w:val="center"/>
          </w:tcPr>
          <w:p w14:paraId="67B6E49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top"/>
          </w:tcPr>
          <w:p w14:paraId="7EC5B74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拆解模型构建思路</w:t>
            </w:r>
          </w:p>
        </w:tc>
        <w:tc>
          <w:tcPr>
            <w:tcW w:w="1356" w:type="dxa"/>
            <w:vMerge w:val="continue"/>
            <w:noWrap w:val="0"/>
            <w:vAlign w:val="center"/>
          </w:tcPr>
          <w:p w14:paraId="4F0B1E6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33A165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26" w:type="dxa"/>
            <w:vMerge w:val="continue"/>
            <w:noWrap w:val="0"/>
            <w:vAlign w:val="center"/>
          </w:tcPr>
          <w:p w14:paraId="5084929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109" w:type="dxa"/>
            <w:vMerge w:val="continue"/>
            <w:noWrap w:val="0"/>
            <w:vAlign w:val="center"/>
          </w:tcPr>
          <w:p w14:paraId="5FEEC0B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top"/>
          </w:tcPr>
          <w:p w14:paraId="7DC26B8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hAnsi="宋体" w:cs="宋体"/>
                <w:spacing w:val="10"/>
                <w:sz w:val="18"/>
                <w:szCs w:val="18"/>
                <w:lang w:val="en-US" w:eastAsia="zh-CN"/>
              </w:rPr>
              <w:t>拆解</w:t>
            </w:r>
            <w:r>
              <w:rPr>
                <w:rFonts w:hint="eastAsia" w:ascii="宋体" w:hAnsi="宋体" w:eastAsia="宋体" w:cs="宋体"/>
                <w:spacing w:val="10"/>
                <w:sz w:val="18"/>
                <w:szCs w:val="18"/>
                <w:lang w:val="en-US" w:eastAsia="zh-CN"/>
              </w:rPr>
              <w:t>定义变量思路</w:t>
            </w:r>
          </w:p>
        </w:tc>
        <w:tc>
          <w:tcPr>
            <w:tcW w:w="1356" w:type="dxa"/>
            <w:vMerge w:val="continue"/>
            <w:noWrap w:val="0"/>
            <w:vAlign w:val="center"/>
          </w:tcPr>
          <w:p w14:paraId="303AA81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49752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26" w:type="dxa"/>
            <w:vMerge w:val="continue"/>
            <w:noWrap w:val="0"/>
            <w:vAlign w:val="center"/>
          </w:tcPr>
          <w:p w14:paraId="103E86F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109" w:type="dxa"/>
            <w:vMerge w:val="continue"/>
            <w:noWrap w:val="0"/>
            <w:vAlign w:val="center"/>
          </w:tcPr>
          <w:p w14:paraId="32A50A6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top"/>
          </w:tcPr>
          <w:p w14:paraId="68515A1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样本选取与数据来源</w:t>
            </w:r>
          </w:p>
        </w:tc>
        <w:tc>
          <w:tcPr>
            <w:tcW w:w="1356" w:type="dxa"/>
            <w:vMerge w:val="continue"/>
            <w:noWrap w:val="0"/>
            <w:vAlign w:val="center"/>
          </w:tcPr>
          <w:p w14:paraId="3147EF1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3531B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26" w:type="dxa"/>
            <w:vMerge w:val="continue"/>
            <w:noWrap w:val="0"/>
            <w:vAlign w:val="center"/>
          </w:tcPr>
          <w:p w14:paraId="05AF70C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109" w:type="dxa"/>
            <w:vMerge w:val="continue"/>
            <w:noWrap w:val="0"/>
            <w:vAlign w:val="center"/>
          </w:tcPr>
          <w:p w14:paraId="070BA71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top"/>
          </w:tcPr>
          <w:p w14:paraId="09A8250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拆解实证结果与分析思路</w:t>
            </w:r>
          </w:p>
        </w:tc>
        <w:tc>
          <w:tcPr>
            <w:tcW w:w="1356" w:type="dxa"/>
            <w:vMerge w:val="continue"/>
            <w:noWrap w:val="0"/>
            <w:vAlign w:val="center"/>
          </w:tcPr>
          <w:p w14:paraId="0715D77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0DA85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26" w:type="dxa"/>
            <w:vMerge w:val="continue"/>
            <w:noWrap w:val="0"/>
            <w:vAlign w:val="center"/>
          </w:tcPr>
          <w:p w14:paraId="2C1657F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109" w:type="dxa"/>
            <w:noWrap w:val="0"/>
            <w:vAlign w:val="center"/>
          </w:tcPr>
          <w:p w14:paraId="5F336D2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r>
              <w:rPr>
                <w:rFonts w:hint="eastAsia" w:ascii="宋体" w:hAnsi="宋体" w:eastAsia="宋体" w:cs="宋体"/>
                <w:sz w:val="18"/>
                <w:szCs w:val="18"/>
              </w:rPr>
              <w:t>实验总结</w:t>
            </w:r>
          </w:p>
        </w:tc>
        <w:tc>
          <w:tcPr>
            <w:tcW w:w="5058" w:type="dxa"/>
            <w:noWrap w:val="0"/>
            <w:vAlign w:val="center"/>
          </w:tcPr>
          <w:p w14:paraId="743731F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构建仿写论文结构</w:t>
            </w:r>
            <w:r>
              <w:rPr>
                <w:rFonts w:hint="eastAsia" w:hAnsi="宋体" w:cs="宋体"/>
                <w:spacing w:val="10"/>
                <w:sz w:val="18"/>
                <w:szCs w:val="18"/>
                <w:lang w:val="en-US" w:eastAsia="zh-CN"/>
              </w:rPr>
              <w:t>，</w:t>
            </w:r>
            <w:r>
              <w:rPr>
                <w:rFonts w:hint="eastAsia" w:ascii="宋体" w:hAnsi="宋体" w:eastAsia="宋体" w:cs="宋体"/>
                <w:spacing w:val="10"/>
                <w:sz w:val="18"/>
                <w:szCs w:val="18"/>
                <w:lang w:val="en-US" w:eastAsia="zh-CN"/>
              </w:rPr>
              <w:t>设计</w:t>
            </w:r>
            <w:r>
              <w:rPr>
                <w:rFonts w:hint="eastAsia" w:ascii="宋体" w:hAnsi="宋体" w:eastAsia="宋体" w:cs="宋体"/>
                <w:spacing w:val="10"/>
                <w:sz w:val="18"/>
                <w:szCs w:val="18"/>
              </w:rPr>
              <w:t>论文仿写</w:t>
            </w:r>
            <w:r>
              <w:rPr>
                <w:rFonts w:hint="eastAsia" w:ascii="宋体" w:hAnsi="宋体" w:eastAsia="宋体" w:cs="宋体"/>
                <w:spacing w:val="10"/>
                <w:sz w:val="18"/>
                <w:szCs w:val="18"/>
                <w:lang w:val="en-US" w:eastAsia="zh-CN"/>
              </w:rPr>
              <w:t>文档</w:t>
            </w:r>
          </w:p>
        </w:tc>
        <w:tc>
          <w:tcPr>
            <w:tcW w:w="1356" w:type="dxa"/>
            <w:vMerge w:val="continue"/>
            <w:noWrap w:val="0"/>
            <w:vAlign w:val="center"/>
          </w:tcPr>
          <w:p w14:paraId="28EE6B5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bl>
    <w:p w14:paraId="50D99C0E">
      <w:pPr>
        <w:pageBreakBefore w:val="0"/>
        <w:widowControl w:val="0"/>
        <w:numPr>
          <w:ilvl w:val="0"/>
          <w:numId w:val="7"/>
        </w:numPr>
        <w:kinsoku/>
        <w:wordWrap/>
        <w:overflowPunct/>
        <w:topLinePunct w:val="0"/>
        <w:autoSpaceDE/>
        <w:autoSpaceDN/>
        <w:bidi w:val="0"/>
        <w:adjustRightInd w:val="0"/>
        <w:snapToGrid w:val="0"/>
        <w:spacing w:beforeAutospacing="0" w:afterAutospacing="0" w:line="360" w:lineRule="auto"/>
        <w:ind w:right="0" w:firstLine="422"/>
        <w:textAlignment w:val="auto"/>
        <w:rPr>
          <w:rFonts w:hint="eastAsia" w:ascii="宋体" w:hAnsi="宋体" w:eastAsia="宋体" w:cs="宋体"/>
          <w:b/>
          <w:sz w:val="21"/>
          <w:szCs w:val="21"/>
        </w:rPr>
      </w:pPr>
      <w:r>
        <w:rPr>
          <w:rFonts w:hint="eastAsia" w:ascii="宋体" w:hAnsi="宋体" w:eastAsia="宋体" w:cs="宋体"/>
          <w:b/>
          <w:sz w:val="21"/>
          <w:szCs w:val="21"/>
        </w:rPr>
        <w:t>实验流程（工作程序）</w:t>
      </w:r>
    </w:p>
    <w:p w14:paraId="6BB5F405">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rPr>
      </w:pPr>
      <w:r>
        <w:rPr>
          <w:rFonts w:hint="eastAsia" w:ascii="宋体" w:hAnsi="宋体" w:eastAsia="宋体" w:cs="宋体"/>
          <w:sz w:val="21"/>
          <w:szCs w:val="21"/>
        </w:rPr>
        <w:t>了解实验背景、实验目标</w:t>
      </w:r>
    </w:p>
    <w:p w14:paraId="5C79502E">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选取目标顶刊论文</w:t>
      </w:r>
    </w:p>
    <w:p w14:paraId="3816FA6A">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打开并登录数字经济AI平台，下载案例附件并解压</w:t>
      </w:r>
    </w:p>
    <w:p w14:paraId="52DD6D41">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rPr>
      </w:pPr>
      <w:r>
        <w:rPr>
          <w:rFonts w:hint="eastAsia" w:ascii="宋体" w:hAnsi="宋体" w:eastAsia="宋体" w:cs="宋体"/>
          <w:sz w:val="21"/>
          <w:szCs w:val="21"/>
        </w:rPr>
        <w:t>利用国内AI平台</w:t>
      </w:r>
      <w:r>
        <w:rPr>
          <w:rFonts w:hint="eastAsia" w:ascii="宋体" w:hAnsi="宋体" w:eastAsia="宋体" w:cs="宋体"/>
          <w:sz w:val="21"/>
          <w:szCs w:val="21"/>
          <w:lang w:val="en-US" w:eastAsia="zh-CN"/>
        </w:rPr>
        <w:t>解读</w:t>
      </w:r>
      <w:r>
        <w:rPr>
          <w:rFonts w:hint="eastAsia" w:ascii="宋体" w:hAnsi="宋体" w:eastAsia="宋体" w:cs="宋体"/>
          <w:sz w:val="21"/>
          <w:szCs w:val="21"/>
        </w:rPr>
        <w:t>整个文档的大纲</w:t>
      </w:r>
    </w:p>
    <w:p w14:paraId="5207DA6A">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拆解研究设计、模型构建、定义变量、实证分析思路，借鉴仿写</w:t>
      </w:r>
    </w:p>
    <w:p w14:paraId="503E155E">
      <w:pPr>
        <w:pageBreakBefore w:val="0"/>
        <w:widowControl w:val="0"/>
        <w:numPr>
          <w:ilvl w:val="0"/>
          <w:numId w:val="7"/>
        </w:numPr>
        <w:kinsoku/>
        <w:wordWrap/>
        <w:overflowPunct/>
        <w:topLinePunct w:val="0"/>
        <w:autoSpaceDE/>
        <w:autoSpaceDN/>
        <w:bidi w:val="0"/>
        <w:adjustRightInd w:val="0"/>
        <w:snapToGrid w:val="0"/>
        <w:spacing w:beforeAutospacing="0" w:afterAutospacing="0" w:line="360" w:lineRule="auto"/>
        <w:ind w:right="0" w:firstLine="422"/>
        <w:textAlignment w:val="auto"/>
        <w:rPr>
          <w:rFonts w:hint="eastAsia" w:ascii="宋体" w:hAnsi="宋体" w:eastAsia="宋体" w:cs="宋体"/>
          <w:b/>
          <w:sz w:val="21"/>
          <w:szCs w:val="21"/>
        </w:rPr>
      </w:pPr>
      <w:r>
        <w:rPr>
          <w:rFonts w:hint="eastAsia" w:ascii="宋体" w:hAnsi="宋体" w:eastAsia="宋体" w:cs="宋体"/>
          <w:b/>
          <w:sz w:val="21"/>
          <w:szCs w:val="21"/>
        </w:rPr>
        <w:t>实验成果</w:t>
      </w:r>
    </w:p>
    <w:p w14:paraId="6D745EBB">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rPr>
      </w:pPr>
      <w:r>
        <w:rPr>
          <w:rFonts w:hint="eastAsia" w:ascii="宋体" w:hAnsi="宋体" w:eastAsia="宋体" w:cs="宋体"/>
          <w:sz w:val="21"/>
          <w:szCs w:val="21"/>
        </w:rPr>
        <w:t>构建仿写论文结构</w:t>
      </w:r>
      <w:r>
        <w:rPr>
          <w:rFonts w:hint="eastAsia" w:ascii="宋体" w:hAnsi="宋体" w:eastAsia="宋体" w:cs="宋体"/>
          <w:sz w:val="21"/>
          <w:szCs w:val="21"/>
          <w:lang w:eastAsia="zh-CN"/>
        </w:rPr>
        <w:t>，</w:t>
      </w:r>
      <w:r>
        <w:rPr>
          <w:rFonts w:hint="eastAsia" w:ascii="宋体" w:hAnsi="宋体" w:eastAsia="宋体" w:cs="宋体"/>
          <w:sz w:val="21"/>
          <w:szCs w:val="21"/>
        </w:rPr>
        <w:t>设计论文仿写文档</w:t>
      </w:r>
    </w:p>
    <w:p w14:paraId="69B2E671">
      <w:pPr>
        <w:pageBreakBefore w:val="0"/>
        <w:widowControl w:val="0"/>
        <w:kinsoku/>
        <w:wordWrap/>
        <w:overflowPunct/>
        <w:topLinePunct w:val="0"/>
        <w:autoSpaceDE/>
        <w:autoSpaceDN/>
        <w:bidi w:val="0"/>
        <w:adjustRightInd w:val="0"/>
        <w:snapToGrid w:val="0"/>
        <w:spacing w:beforeAutospacing="0" w:afterAutospacing="0" w:line="36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rPr>
        <w:drawing>
          <wp:inline distT="0" distB="0" distL="114300" distR="114300">
            <wp:extent cx="5847080" cy="2791460"/>
            <wp:effectExtent l="0" t="0" r="1270" b="8890"/>
            <wp:docPr id="68" name="图片 48"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48" descr="IMG_267"/>
                    <pic:cNvPicPr>
                      <a:picLocks noChangeAspect="1"/>
                    </pic:cNvPicPr>
                  </pic:nvPicPr>
                  <pic:blipFill>
                    <a:blip r:embed="rId20"/>
                    <a:srcRect t="10835" b="4294"/>
                    <a:stretch>
                      <a:fillRect/>
                    </a:stretch>
                  </pic:blipFill>
                  <pic:spPr>
                    <a:xfrm>
                      <a:off x="0" y="0"/>
                      <a:ext cx="5847080" cy="2791460"/>
                    </a:xfrm>
                    <a:prstGeom prst="rect">
                      <a:avLst/>
                    </a:prstGeom>
                    <a:noFill/>
                    <a:ln>
                      <a:noFill/>
                    </a:ln>
                  </pic:spPr>
                </pic:pic>
              </a:graphicData>
            </a:graphic>
          </wp:inline>
        </w:drawing>
      </w:r>
      <w:r>
        <w:rPr>
          <w:rFonts w:hint="eastAsia" w:ascii="宋体" w:hAnsi="宋体" w:eastAsia="宋体" w:cs="宋体"/>
        </w:rPr>
        <w:drawing>
          <wp:inline distT="0" distB="0" distL="114300" distR="114300">
            <wp:extent cx="5623560" cy="2593975"/>
            <wp:effectExtent l="0" t="0" r="15240" b="15875"/>
            <wp:docPr id="66"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49"/>
                    <pic:cNvPicPr>
                      <a:picLocks noChangeAspect="1"/>
                    </pic:cNvPicPr>
                  </pic:nvPicPr>
                  <pic:blipFill>
                    <a:blip r:embed="rId21"/>
                    <a:stretch>
                      <a:fillRect/>
                    </a:stretch>
                  </pic:blipFill>
                  <pic:spPr>
                    <a:xfrm>
                      <a:off x="0" y="0"/>
                      <a:ext cx="5623560" cy="2593975"/>
                    </a:xfrm>
                    <a:prstGeom prst="rect">
                      <a:avLst/>
                    </a:prstGeom>
                    <a:noFill/>
                    <a:ln>
                      <a:noFill/>
                    </a:ln>
                  </pic:spPr>
                </pic:pic>
              </a:graphicData>
            </a:graphic>
          </wp:inline>
        </w:drawing>
      </w:r>
      <w:r>
        <w:rPr>
          <w:rFonts w:hint="eastAsia" w:ascii="宋体" w:hAnsi="宋体" w:eastAsia="宋体" w:cs="宋体"/>
        </w:rPr>
        <w:drawing>
          <wp:inline distT="0" distB="0" distL="114300" distR="114300">
            <wp:extent cx="4889500" cy="2254250"/>
            <wp:effectExtent l="0" t="0" r="6350" b="12700"/>
            <wp:docPr id="63"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0"/>
                    <pic:cNvPicPr>
                      <a:picLocks noChangeAspect="1"/>
                    </pic:cNvPicPr>
                  </pic:nvPicPr>
                  <pic:blipFill>
                    <a:blip r:embed="rId22"/>
                    <a:stretch>
                      <a:fillRect/>
                    </a:stretch>
                  </pic:blipFill>
                  <pic:spPr>
                    <a:xfrm>
                      <a:off x="0" y="0"/>
                      <a:ext cx="4889500" cy="2254250"/>
                    </a:xfrm>
                    <a:prstGeom prst="rect">
                      <a:avLst/>
                    </a:prstGeom>
                    <a:noFill/>
                    <a:ln>
                      <a:noFill/>
                    </a:ln>
                  </pic:spPr>
                </pic:pic>
              </a:graphicData>
            </a:graphic>
          </wp:inline>
        </w:drawing>
      </w:r>
      <w:r>
        <w:rPr>
          <w:rFonts w:hint="eastAsia" w:ascii="宋体" w:hAnsi="宋体" w:eastAsia="宋体" w:cs="宋体"/>
        </w:rPr>
        <w:drawing>
          <wp:inline distT="0" distB="0" distL="114300" distR="114300">
            <wp:extent cx="5272405" cy="2425065"/>
            <wp:effectExtent l="0" t="0" r="4445" b="13335"/>
            <wp:docPr id="70"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51"/>
                    <pic:cNvPicPr>
                      <a:picLocks noChangeAspect="1"/>
                    </pic:cNvPicPr>
                  </pic:nvPicPr>
                  <pic:blipFill>
                    <a:blip r:embed="rId23"/>
                    <a:stretch>
                      <a:fillRect/>
                    </a:stretch>
                  </pic:blipFill>
                  <pic:spPr>
                    <a:xfrm>
                      <a:off x="0" y="0"/>
                      <a:ext cx="5272405" cy="2425065"/>
                    </a:xfrm>
                    <a:prstGeom prst="rect">
                      <a:avLst/>
                    </a:prstGeom>
                    <a:noFill/>
                    <a:ln>
                      <a:noFill/>
                    </a:ln>
                  </pic:spPr>
                </pic:pic>
              </a:graphicData>
            </a:graphic>
          </wp:inline>
        </w:drawing>
      </w:r>
      <w:r>
        <w:rPr>
          <w:rFonts w:hint="eastAsia" w:ascii="宋体" w:hAnsi="宋体" w:eastAsia="宋体" w:cs="宋体"/>
        </w:rPr>
        <w:drawing>
          <wp:inline distT="0" distB="0" distL="114300" distR="114300">
            <wp:extent cx="5267325" cy="2405380"/>
            <wp:effectExtent l="0" t="0" r="9525" b="13970"/>
            <wp:docPr id="58"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2"/>
                    <pic:cNvPicPr>
                      <a:picLocks noChangeAspect="1"/>
                    </pic:cNvPicPr>
                  </pic:nvPicPr>
                  <pic:blipFill>
                    <a:blip r:embed="rId24"/>
                    <a:stretch>
                      <a:fillRect/>
                    </a:stretch>
                  </pic:blipFill>
                  <pic:spPr>
                    <a:xfrm>
                      <a:off x="0" y="0"/>
                      <a:ext cx="5267325" cy="2405380"/>
                    </a:xfrm>
                    <a:prstGeom prst="rect">
                      <a:avLst/>
                    </a:prstGeom>
                    <a:noFill/>
                    <a:ln>
                      <a:noFill/>
                    </a:ln>
                  </pic:spPr>
                </pic:pic>
              </a:graphicData>
            </a:graphic>
          </wp:inline>
        </w:drawing>
      </w:r>
    </w:p>
    <w:p w14:paraId="0428DCAC">
      <w:pPr>
        <w:pStyle w:val="6"/>
        <w:keepNext/>
        <w:keepLines/>
        <w:pageBreakBefore w:val="0"/>
        <w:widowControl w:val="0"/>
        <w:numPr>
          <w:ilvl w:val="1"/>
          <w:numId w:val="5"/>
        </w:numPr>
        <w:tabs>
          <w:tab w:val="left" w:pos="1320"/>
        </w:tabs>
        <w:kinsoku/>
        <w:wordWrap/>
        <w:overflowPunct/>
        <w:topLinePunct w:val="0"/>
        <w:autoSpaceDE/>
        <w:autoSpaceDN/>
        <w:bidi w:val="0"/>
        <w:adjustRightInd w:val="0"/>
        <w:snapToGrid w:val="0"/>
        <w:spacing w:beforeAutospacing="0" w:afterAutospacing="0" w:line="360" w:lineRule="auto"/>
        <w:ind w:left="0" w:right="0" w:firstLine="422" w:firstLineChars="200"/>
        <w:textAlignment w:val="auto"/>
        <w:outlineLvl w:val="2"/>
        <w:rPr>
          <w:rFonts w:hint="eastAsia" w:ascii="宋体" w:hAnsi="宋体" w:eastAsia="宋体" w:cs="宋体"/>
          <w:b/>
          <w:sz w:val="21"/>
          <w:szCs w:val="21"/>
          <w:lang w:val="en-US" w:eastAsia="zh-CN"/>
        </w:rPr>
      </w:pPr>
      <w:bookmarkStart w:id="21" w:name="_Toc9950"/>
      <w:r>
        <w:rPr>
          <w:rFonts w:hint="eastAsia" w:ascii="宋体" w:hAnsi="宋体" w:cs="宋体"/>
          <w:b/>
          <w:sz w:val="21"/>
          <w:szCs w:val="21"/>
          <w:lang w:val="en-US" w:eastAsia="zh-CN"/>
        </w:rPr>
        <w:t>AI选题</w:t>
      </w:r>
      <w:bookmarkEnd w:id="21"/>
    </w:p>
    <w:p w14:paraId="3471D5D6">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实验背景</w:t>
      </w:r>
    </w:p>
    <w:p w14:paraId="7B2BEA93">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cs="宋体"/>
          <w:sz w:val="21"/>
          <w:szCs w:val="21"/>
          <w:lang w:val="en-US" w:eastAsia="zh-CN"/>
        </w:rPr>
      </w:pPr>
      <w:r>
        <w:rPr>
          <w:rFonts w:hint="eastAsia" w:ascii="宋体" w:hAnsi="宋体" w:eastAsia="宋体" w:cs="宋体"/>
          <w:sz w:val="21"/>
          <w:szCs w:val="21"/>
        </w:rPr>
        <w:t>在</w:t>
      </w:r>
      <w:r>
        <w:rPr>
          <w:rFonts w:hint="eastAsia" w:ascii="宋体" w:hAnsi="宋体" w:eastAsia="宋体" w:cs="宋体"/>
          <w:sz w:val="21"/>
          <w:szCs w:val="21"/>
          <w:lang w:val="en-US" w:eastAsia="zh-CN"/>
        </w:rPr>
        <w:t>论文</w:t>
      </w:r>
      <w:r>
        <w:rPr>
          <w:rFonts w:hint="eastAsia" w:ascii="宋体" w:hAnsi="宋体" w:eastAsia="宋体" w:cs="宋体"/>
          <w:sz w:val="21"/>
          <w:szCs w:val="21"/>
        </w:rPr>
        <w:t>选题时缺乏明确的方向和目标，不知道如何确定一个好的论文题目</w:t>
      </w:r>
      <w:r>
        <w:rPr>
          <w:rFonts w:hint="eastAsia" w:ascii="宋体" w:hAnsi="宋体" w:eastAsia="宋体" w:cs="宋体"/>
          <w:sz w:val="21"/>
          <w:szCs w:val="21"/>
          <w:lang w:val="en-US" w:eastAsia="zh-CN"/>
        </w:rPr>
        <w:t>，作为经管类专业的难以从模型上进行创新，是不是可以从理论、方法、数据上进行论文创新呢？从数据创新角度进行论文主题探索正逐渐常态化</w:t>
      </w:r>
      <w:r>
        <w:rPr>
          <w:rFonts w:hint="eastAsia" w:ascii="宋体" w:hAnsi="宋体" w:cs="宋体"/>
          <w:sz w:val="21"/>
          <w:szCs w:val="21"/>
          <w:lang w:val="en-US" w:eastAsia="zh-CN"/>
        </w:rPr>
        <w:t>，用大数据技术追踪指定C刊的论文选题热点，实现AI与数据集匹配，自动给出以投刊为目的热点选题。</w:t>
      </w:r>
    </w:p>
    <w:p w14:paraId="00B96AE4">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实验内容</w:t>
      </w:r>
    </w:p>
    <w:p w14:paraId="287CE240">
      <w:pPr>
        <w:pageBreakBefore w:val="0"/>
        <w:widowControl w:val="0"/>
        <w:kinsoku/>
        <w:wordWrap/>
        <w:overflowPunct/>
        <w:topLinePunct w:val="0"/>
        <w:autoSpaceDE/>
        <w:autoSpaceDN/>
        <w:bidi w:val="0"/>
        <w:adjustRightInd w:val="0"/>
        <w:snapToGrid w:val="0"/>
        <w:spacing w:beforeAutospacing="0" w:afterAutospacing="0" w:line="360" w:lineRule="auto"/>
        <w:ind w:right="0" w:firstLine="360"/>
        <w:jc w:val="center"/>
        <w:textAlignment w:val="auto"/>
        <w:rPr>
          <w:rFonts w:hint="eastAsia" w:ascii="宋体" w:hAnsi="宋体" w:eastAsia="宋体" w:cs="宋体"/>
          <w:sz w:val="18"/>
          <w:szCs w:val="18"/>
          <w:lang w:val="en-US" w:eastAsia="zh-CN" w:bidi="ar"/>
        </w:rPr>
      </w:pPr>
      <w:r>
        <w:rPr>
          <w:rFonts w:hint="eastAsia" w:ascii="宋体" w:hAnsi="宋体" w:eastAsia="宋体" w:cs="宋体"/>
          <w:sz w:val="18"/>
          <w:szCs w:val="18"/>
          <w:lang w:bidi="ar"/>
        </w:rPr>
        <w:t>表</w:t>
      </w:r>
      <w:r>
        <w:rPr>
          <w:rFonts w:hint="eastAsia" w:ascii="宋体" w:hAnsi="宋体" w:eastAsia="宋体" w:cs="宋体"/>
          <w:sz w:val="18"/>
          <w:szCs w:val="18"/>
          <w:lang w:val="en-US" w:eastAsia="zh-CN" w:bidi="ar"/>
        </w:rPr>
        <w:t xml:space="preserve">2 </w:t>
      </w:r>
      <w:r>
        <w:rPr>
          <w:rFonts w:hint="eastAsia" w:ascii="宋体" w:hAnsi="宋体" w:cs="宋体"/>
          <w:sz w:val="18"/>
          <w:szCs w:val="18"/>
          <w:lang w:val="en-US" w:eastAsia="zh-CN" w:bidi="ar"/>
        </w:rPr>
        <w:t>AI选题</w:t>
      </w:r>
    </w:p>
    <w:tbl>
      <w:tblPr>
        <w:tblStyle w:val="18"/>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744EF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095" w:type="dxa"/>
            <w:shd w:val="clear" w:color="auto" w:fill="E6E6E6"/>
            <w:noWrap w:val="0"/>
            <w:vAlign w:val="center"/>
          </w:tcPr>
          <w:p w14:paraId="37175E5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一级模块</w:t>
            </w:r>
          </w:p>
        </w:tc>
        <w:tc>
          <w:tcPr>
            <w:tcW w:w="1240" w:type="dxa"/>
            <w:shd w:val="clear" w:color="auto" w:fill="E6E6E6"/>
            <w:noWrap w:val="0"/>
            <w:vAlign w:val="center"/>
          </w:tcPr>
          <w:p w14:paraId="7BCE85D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二级模块</w:t>
            </w:r>
          </w:p>
        </w:tc>
        <w:tc>
          <w:tcPr>
            <w:tcW w:w="5058" w:type="dxa"/>
            <w:shd w:val="clear" w:color="auto" w:fill="E6E6E6"/>
            <w:noWrap w:val="0"/>
            <w:vAlign w:val="center"/>
          </w:tcPr>
          <w:p w14:paraId="636536D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实验项目名称</w:t>
            </w:r>
          </w:p>
        </w:tc>
        <w:tc>
          <w:tcPr>
            <w:tcW w:w="1356" w:type="dxa"/>
            <w:shd w:val="clear" w:color="auto" w:fill="E6E6E6"/>
            <w:noWrap w:val="0"/>
            <w:vAlign w:val="center"/>
          </w:tcPr>
          <w:p w14:paraId="6B89444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涉及平台</w:t>
            </w:r>
          </w:p>
        </w:tc>
      </w:tr>
      <w:tr w14:paraId="536DB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restart"/>
            <w:noWrap w:val="0"/>
            <w:vAlign w:val="center"/>
          </w:tcPr>
          <w:p w14:paraId="1D04BB0F">
            <w:pPr>
              <w:pageBreakBefore w:val="0"/>
              <w:widowControl w:val="0"/>
              <w:tabs>
                <w:tab w:val="left" w:pos="1320"/>
              </w:tabs>
              <w:kinsoku/>
              <w:wordWrap/>
              <w:overflowPunct/>
              <w:topLinePunct w:val="0"/>
              <w:autoSpaceDE/>
              <w:autoSpaceDN/>
              <w:bidi w:val="0"/>
              <w:adjustRightInd w:val="0"/>
              <w:snapToGrid w:val="0"/>
              <w:spacing w:beforeAutospacing="0" w:afterAutospacing="0" w:line="360" w:lineRule="auto"/>
              <w:ind w:right="0" w:firstLine="0" w:firstLineChars="0"/>
              <w:jc w:val="center"/>
              <w:textAlignment w:val="auto"/>
              <w:rPr>
                <w:rFonts w:hint="eastAsia" w:ascii="宋体" w:hAnsi="宋体" w:eastAsia="宋体" w:cs="宋体"/>
                <w:sz w:val="18"/>
                <w:szCs w:val="18"/>
                <w:lang w:bidi="ar"/>
              </w:rPr>
            </w:pPr>
            <w:r>
              <w:rPr>
                <w:rFonts w:hint="eastAsia" w:ascii="宋体" w:hAnsi="宋体" w:eastAsia="宋体" w:cs="宋体"/>
                <w:sz w:val="18"/>
                <w:szCs w:val="18"/>
                <w:lang w:bidi="ar"/>
              </w:rPr>
              <w:br w:type="textWrapping"/>
            </w:r>
            <w:r>
              <w:rPr>
                <w:rFonts w:hint="eastAsia" w:ascii="宋体" w:hAnsi="宋体" w:cs="宋体"/>
                <w:sz w:val="18"/>
                <w:szCs w:val="18"/>
                <w:lang w:val="en-US" w:eastAsia="zh-CN" w:bidi="ar"/>
              </w:rPr>
              <w:t>AI选题</w:t>
            </w:r>
          </w:p>
          <w:p w14:paraId="7F0E486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78F602D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实验准备</w:t>
            </w:r>
          </w:p>
        </w:tc>
        <w:tc>
          <w:tcPr>
            <w:tcW w:w="5058" w:type="dxa"/>
            <w:noWrap w:val="0"/>
            <w:vAlign w:val="center"/>
          </w:tcPr>
          <w:p w14:paraId="6D83EC4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准备</w:t>
            </w:r>
            <w:r>
              <w:rPr>
                <w:rFonts w:hint="eastAsia" w:ascii="宋体" w:hAnsi="宋体" w:eastAsia="宋体" w:cs="宋体"/>
                <w:spacing w:val="10"/>
                <w:sz w:val="18"/>
                <w:szCs w:val="18"/>
              </w:rPr>
              <w:t>论文仿写</w:t>
            </w:r>
            <w:r>
              <w:rPr>
                <w:rFonts w:hint="eastAsia" w:ascii="宋体" w:hAnsi="宋体" w:eastAsia="宋体" w:cs="宋体"/>
                <w:spacing w:val="10"/>
                <w:sz w:val="18"/>
                <w:szCs w:val="18"/>
                <w:lang w:val="en-US" w:eastAsia="zh-CN"/>
              </w:rPr>
              <w:t>文档</w:t>
            </w:r>
          </w:p>
        </w:tc>
        <w:tc>
          <w:tcPr>
            <w:tcW w:w="1356" w:type="dxa"/>
            <w:vMerge w:val="restart"/>
            <w:noWrap w:val="0"/>
            <w:vAlign w:val="center"/>
          </w:tcPr>
          <w:p w14:paraId="10745CD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lang w:val="en-US" w:eastAsia="zh-CN"/>
              </w:rPr>
            </w:pPr>
            <w:r>
              <w:rPr>
                <w:rFonts w:hint="eastAsia" w:hAnsi="宋体" w:cs="宋体"/>
                <w:sz w:val="18"/>
                <w:szCs w:val="18"/>
                <w:lang w:val="en-US" w:eastAsia="zh-CN"/>
              </w:rPr>
              <w:t>AI金融计量教学平台</w:t>
            </w:r>
          </w:p>
          <w:p w14:paraId="4387CEA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val="en-US" w:eastAsia="zh-CN"/>
              </w:rPr>
              <w:t>国内AI大模型</w:t>
            </w:r>
          </w:p>
        </w:tc>
      </w:tr>
      <w:tr w14:paraId="764900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505AA67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661CC1C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center"/>
          </w:tcPr>
          <w:p w14:paraId="2AFA1D0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打开并登录国内AI平台</w:t>
            </w:r>
          </w:p>
        </w:tc>
        <w:tc>
          <w:tcPr>
            <w:tcW w:w="1356" w:type="dxa"/>
            <w:vMerge w:val="continue"/>
            <w:noWrap w:val="0"/>
            <w:vAlign w:val="center"/>
          </w:tcPr>
          <w:p w14:paraId="18BCC14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pacing w:val="10"/>
                <w:sz w:val="18"/>
                <w:szCs w:val="18"/>
              </w:rPr>
            </w:pPr>
          </w:p>
        </w:tc>
      </w:tr>
      <w:tr w14:paraId="59BCF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57B91B1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0F3E561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center"/>
          </w:tcPr>
          <w:p w14:paraId="32FD885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打开并登录数字经济AI平台</w:t>
            </w:r>
          </w:p>
        </w:tc>
        <w:tc>
          <w:tcPr>
            <w:tcW w:w="1356" w:type="dxa"/>
            <w:vMerge w:val="continue"/>
            <w:noWrap w:val="0"/>
            <w:vAlign w:val="center"/>
          </w:tcPr>
          <w:p w14:paraId="6DA6110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1A21E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0E97159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18DA23D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实验实施步骤</w:t>
            </w:r>
          </w:p>
        </w:tc>
        <w:tc>
          <w:tcPr>
            <w:tcW w:w="5058" w:type="dxa"/>
            <w:noWrap w:val="0"/>
            <w:vAlign w:val="center"/>
          </w:tcPr>
          <w:p w14:paraId="24413C5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利用国内AI确定主题方向</w:t>
            </w:r>
          </w:p>
        </w:tc>
        <w:tc>
          <w:tcPr>
            <w:tcW w:w="1356" w:type="dxa"/>
            <w:vMerge w:val="continue"/>
            <w:noWrap w:val="0"/>
            <w:vAlign w:val="center"/>
          </w:tcPr>
          <w:p w14:paraId="0D7DEDC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42FBF6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095" w:type="dxa"/>
            <w:vMerge w:val="continue"/>
            <w:noWrap w:val="0"/>
            <w:vAlign w:val="center"/>
          </w:tcPr>
          <w:p w14:paraId="2E14500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2235584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top"/>
          </w:tcPr>
          <w:p w14:paraId="3F9648B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查看杰科力数据集</w:t>
            </w:r>
          </w:p>
        </w:tc>
        <w:tc>
          <w:tcPr>
            <w:tcW w:w="1356" w:type="dxa"/>
            <w:vMerge w:val="continue"/>
            <w:noWrap w:val="0"/>
            <w:vAlign w:val="center"/>
          </w:tcPr>
          <w:p w14:paraId="79AA594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1EE140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095" w:type="dxa"/>
            <w:vMerge w:val="continue"/>
            <w:noWrap w:val="0"/>
            <w:vAlign w:val="center"/>
          </w:tcPr>
          <w:p w14:paraId="6C4C433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535077A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top"/>
          </w:tcPr>
          <w:p w14:paraId="210FB14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搜索相关方向数据</w:t>
            </w:r>
          </w:p>
        </w:tc>
        <w:tc>
          <w:tcPr>
            <w:tcW w:w="1356" w:type="dxa"/>
            <w:vMerge w:val="continue"/>
            <w:noWrap w:val="0"/>
            <w:vAlign w:val="center"/>
          </w:tcPr>
          <w:p w14:paraId="55BBB71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369CB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244A0E2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3E8D55A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top"/>
          </w:tcPr>
          <w:p w14:paraId="1B46FEC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验证数据指标匹配度</w:t>
            </w:r>
          </w:p>
        </w:tc>
        <w:tc>
          <w:tcPr>
            <w:tcW w:w="1356" w:type="dxa"/>
            <w:vMerge w:val="continue"/>
            <w:noWrap w:val="0"/>
            <w:vAlign w:val="center"/>
          </w:tcPr>
          <w:p w14:paraId="54CE629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13A4E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95" w:type="dxa"/>
            <w:vMerge w:val="continue"/>
            <w:noWrap w:val="0"/>
            <w:vAlign w:val="center"/>
          </w:tcPr>
          <w:p w14:paraId="38828E3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noWrap w:val="0"/>
            <w:vAlign w:val="center"/>
          </w:tcPr>
          <w:p w14:paraId="456D3EF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r>
              <w:rPr>
                <w:rFonts w:hint="eastAsia" w:ascii="宋体" w:hAnsi="宋体" w:eastAsia="宋体" w:cs="宋体"/>
                <w:sz w:val="18"/>
                <w:szCs w:val="18"/>
              </w:rPr>
              <w:t>实验总结</w:t>
            </w:r>
          </w:p>
        </w:tc>
        <w:tc>
          <w:tcPr>
            <w:tcW w:w="5058" w:type="dxa"/>
            <w:noWrap w:val="0"/>
            <w:vAlign w:val="center"/>
          </w:tcPr>
          <w:p w14:paraId="0960D71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确定论文研究方向，整理数据资料</w:t>
            </w:r>
          </w:p>
        </w:tc>
        <w:tc>
          <w:tcPr>
            <w:tcW w:w="1356" w:type="dxa"/>
            <w:vMerge w:val="continue"/>
            <w:noWrap w:val="0"/>
            <w:vAlign w:val="center"/>
          </w:tcPr>
          <w:p w14:paraId="48DA69E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bl>
    <w:p w14:paraId="0C55AE9A">
      <w:pPr>
        <w:pageBreakBefore w:val="0"/>
        <w:widowControl w:val="0"/>
        <w:numPr>
          <w:ilvl w:val="0"/>
          <w:numId w:val="9"/>
        </w:numPr>
        <w:kinsoku/>
        <w:wordWrap/>
        <w:overflowPunct/>
        <w:topLinePunct w:val="0"/>
        <w:autoSpaceDE/>
        <w:autoSpaceDN/>
        <w:bidi w:val="0"/>
        <w:adjustRightInd w:val="0"/>
        <w:snapToGrid w:val="0"/>
        <w:spacing w:beforeAutospacing="0" w:afterAutospacing="0" w:line="360" w:lineRule="auto"/>
        <w:ind w:right="0" w:firstLine="422"/>
        <w:textAlignment w:val="auto"/>
        <w:rPr>
          <w:rFonts w:hint="eastAsia" w:ascii="宋体" w:hAnsi="宋体" w:eastAsia="宋体" w:cs="宋体"/>
          <w:b/>
          <w:sz w:val="21"/>
          <w:szCs w:val="21"/>
        </w:rPr>
      </w:pPr>
      <w:r>
        <w:rPr>
          <w:rFonts w:hint="eastAsia" w:ascii="宋体" w:hAnsi="宋体" w:eastAsia="宋体" w:cs="宋体"/>
          <w:b/>
          <w:sz w:val="21"/>
          <w:szCs w:val="21"/>
        </w:rPr>
        <w:t>实验流程（工作程序）</w:t>
      </w:r>
    </w:p>
    <w:p w14:paraId="555CDC3A">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rPr>
      </w:pPr>
      <w:r>
        <w:rPr>
          <w:rFonts w:hint="eastAsia" w:ascii="宋体" w:hAnsi="宋体" w:eastAsia="宋体" w:cs="宋体"/>
          <w:sz w:val="21"/>
          <w:szCs w:val="21"/>
        </w:rPr>
        <w:t>了解实验背景、实验目标</w:t>
      </w:r>
    </w:p>
    <w:p w14:paraId="3E51FB47">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根据整理的论文仿写思路后打开国内AI平台和杰科力AI 平台</w:t>
      </w:r>
    </w:p>
    <w:p w14:paraId="1FE16F32">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利用国内AI确定主题方向</w:t>
      </w:r>
    </w:p>
    <w:p w14:paraId="396EE9C9">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查看杰科力数据集，搜索相关方向数据，验证数据指标匹配度</w:t>
      </w:r>
    </w:p>
    <w:p w14:paraId="5F55B729">
      <w:pPr>
        <w:pageBreakBefore w:val="0"/>
        <w:widowControl w:val="0"/>
        <w:numPr>
          <w:ilvl w:val="0"/>
          <w:numId w:val="9"/>
        </w:numPr>
        <w:kinsoku/>
        <w:wordWrap/>
        <w:overflowPunct/>
        <w:topLinePunct w:val="0"/>
        <w:autoSpaceDE/>
        <w:autoSpaceDN/>
        <w:bidi w:val="0"/>
        <w:adjustRightInd w:val="0"/>
        <w:snapToGrid w:val="0"/>
        <w:spacing w:beforeAutospacing="0" w:afterAutospacing="0" w:line="360" w:lineRule="auto"/>
        <w:ind w:right="0" w:firstLine="422"/>
        <w:textAlignment w:val="auto"/>
        <w:rPr>
          <w:rFonts w:hint="eastAsia" w:ascii="宋体" w:hAnsi="宋体" w:eastAsia="宋体" w:cs="宋体"/>
          <w:b/>
          <w:sz w:val="21"/>
          <w:szCs w:val="21"/>
        </w:rPr>
      </w:pPr>
      <w:r>
        <w:rPr>
          <w:rFonts w:hint="eastAsia" w:ascii="宋体" w:hAnsi="宋体" w:eastAsia="宋体" w:cs="宋体"/>
          <w:b/>
          <w:sz w:val="21"/>
          <w:szCs w:val="21"/>
        </w:rPr>
        <w:t>实验成果</w:t>
      </w:r>
    </w:p>
    <w:p w14:paraId="121E96C6">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确定论文主题，整理数据资料</w:t>
      </w:r>
    </w:p>
    <w:p w14:paraId="5B8C1626">
      <w:pPr>
        <w:pageBreakBefore w:val="0"/>
        <w:widowControl w:val="0"/>
        <w:kinsoku/>
        <w:wordWrap/>
        <w:overflowPunct/>
        <w:topLinePunct w:val="0"/>
        <w:autoSpaceDE/>
        <w:autoSpaceDN/>
        <w:bidi w:val="0"/>
        <w:adjustRightInd w:val="0"/>
        <w:snapToGrid w:val="0"/>
        <w:spacing w:beforeAutospacing="0" w:afterAutospacing="0" w:line="360" w:lineRule="auto"/>
        <w:ind w:left="0" w:leftChars="0" w:right="0" w:firstLine="0" w:firstLineChars="0"/>
        <w:textAlignment w:val="auto"/>
        <w:rPr>
          <w:rFonts w:hint="eastAsia" w:ascii="宋体" w:hAnsi="宋体" w:eastAsia="宋体" w:cs="宋体"/>
          <w:sz w:val="21"/>
          <w:szCs w:val="21"/>
        </w:rPr>
      </w:pPr>
      <w:r>
        <w:rPr>
          <w:rFonts w:hint="eastAsia" w:ascii="宋体" w:hAnsi="宋体" w:eastAsia="宋体" w:cs="宋体"/>
        </w:rPr>
        <w:drawing>
          <wp:inline distT="0" distB="0" distL="114300" distR="114300">
            <wp:extent cx="5264150" cy="2386330"/>
            <wp:effectExtent l="0" t="0" r="12700" b="13970"/>
            <wp:docPr id="54"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3"/>
                    <pic:cNvPicPr>
                      <a:picLocks noChangeAspect="1"/>
                    </pic:cNvPicPr>
                  </pic:nvPicPr>
                  <pic:blipFill>
                    <a:blip r:embed="rId25"/>
                    <a:srcRect t="9814"/>
                    <a:stretch>
                      <a:fillRect/>
                    </a:stretch>
                  </pic:blipFill>
                  <pic:spPr>
                    <a:xfrm>
                      <a:off x="0" y="0"/>
                      <a:ext cx="5264150" cy="2386330"/>
                    </a:xfrm>
                    <a:prstGeom prst="rect">
                      <a:avLst/>
                    </a:prstGeom>
                    <a:noFill/>
                    <a:ln>
                      <a:noFill/>
                    </a:ln>
                  </pic:spPr>
                </pic:pic>
              </a:graphicData>
            </a:graphic>
          </wp:inline>
        </w:drawing>
      </w:r>
      <w:r>
        <w:rPr>
          <w:rFonts w:hint="eastAsia" w:ascii="宋体" w:hAnsi="宋体" w:eastAsia="宋体" w:cs="宋体"/>
        </w:rPr>
        <w:drawing>
          <wp:inline distT="0" distB="0" distL="114300" distR="114300">
            <wp:extent cx="5277485" cy="3459480"/>
            <wp:effectExtent l="0" t="0" r="18415" b="7620"/>
            <wp:docPr id="52"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4"/>
                    <pic:cNvPicPr>
                      <a:picLocks noChangeAspect="1"/>
                    </pic:cNvPicPr>
                  </pic:nvPicPr>
                  <pic:blipFill>
                    <a:blip r:embed="rId26"/>
                    <a:srcRect t="4915" r="-96" b="4932"/>
                    <a:stretch>
                      <a:fillRect/>
                    </a:stretch>
                  </pic:blipFill>
                  <pic:spPr>
                    <a:xfrm>
                      <a:off x="0" y="0"/>
                      <a:ext cx="5277485" cy="3459480"/>
                    </a:xfrm>
                    <a:prstGeom prst="rect">
                      <a:avLst/>
                    </a:prstGeom>
                    <a:noFill/>
                    <a:ln>
                      <a:noFill/>
                    </a:ln>
                  </pic:spPr>
                </pic:pic>
              </a:graphicData>
            </a:graphic>
          </wp:inline>
        </w:drawing>
      </w:r>
    </w:p>
    <w:p w14:paraId="306B8B26">
      <w:pPr>
        <w:pStyle w:val="6"/>
        <w:keepNext/>
        <w:keepLines/>
        <w:pageBreakBefore w:val="0"/>
        <w:widowControl w:val="0"/>
        <w:numPr>
          <w:ilvl w:val="1"/>
          <w:numId w:val="5"/>
        </w:numPr>
        <w:tabs>
          <w:tab w:val="left" w:pos="1320"/>
        </w:tabs>
        <w:kinsoku/>
        <w:wordWrap/>
        <w:overflowPunct/>
        <w:topLinePunct w:val="0"/>
        <w:autoSpaceDE/>
        <w:autoSpaceDN/>
        <w:bidi w:val="0"/>
        <w:adjustRightInd w:val="0"/>
        <w:snapToGrid w:val="0"/>
        <w:spacing w:beforeAutospacing="0" w:afterAutospacing="0" w:line="360" w:lineRule="auto"/>
        <w:ind w:left="0" w:right="0" w:firstLine="422" w:firstLineChars="200"/>
        <w:textAlignment w:val="auto"/>
        <w:outlineLvl w:val="2"/>
        <w:rPr>
          <w:rFonts w:hint="eastAsia" w:ascii="宋体" w:hAnsi="宋体" w:eastAsia="宋体" w:cs="宋体"/>
          <w:b/>
          <w:sz w:val="21"/>
          <w:szCs w:val="21"/>
          <w:lang w:val="en-US" w:eastAsia="zh-CN"/>
        </w:rPr>
      </w:pPr>
      <w:bookmarkStart w:id="22" w:name="_Toc11244"/>
      <w:bookmarkStart w:id="23" w:name="_Toc13929"/>
      <w:bookmarkStart w:id="24" w:name="_Toc12343"/>
      <w:bookmarkStart w:id="25" w:name="_Toc23051"/>
      <w:r>
        <w:rPr>
          <w:rFonts w:hint="eastAsia" w:ascii="宋体" w:hAnsi="宋体" w:eastAsia="宋体" w:cs="宋体"/>
          <w:b/>
          <w:sz w:val="21"/>
          <w:szCs w:val="21"/>
          <w:lang w:val="en-US" w:eastAsia="zh-CN"/>
        </w:rPr>
        <w:t>研究主题论证</w:t>
      </w:r>
      <w:bookmarkEnd w:id="22"/>
      <w:bookmarkEnd w:id="23"/>
      <w:bookmarkEnd w:id="24"/>
      <w:bookmarkEnd w:id="25"/>
    </w:p>
    <w:p w14:paraId="3555A7B4">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实验背景</w:t>
      </w:r>
    </w:p>
    <w:p w14:paraId="4BD263EA">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如何确定研究方向是否已被引用并发表、研究是否有意义？还需要进一步论证主题相关文献，平时仅能就校内已有论文库进行查询，查询范围受限，如果仅在网络上自行查询，一方面无法确定文献是否真实，另一方面还需要进行大量整理，尤其是外文文献整理尤其令人烦恼，如果快速整理出引用文献，兼具中文与外文文献，同时标注文献研究方向、引用情况、文献出处等，正在成为高校科研师生迫切需要解决的问题。</w:t>
      </w:r>
    </w:p>
    <w:p w14:paraId="62A5D35A">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实验内容</w:t>
      </w:r>
    </w:p>
    <w:p w14:paraId="0EDBCB35">
      <w:pPr>
        <w:pageBreakBefore w:val="0"/>
        <w:widowControl w:val="0"/>
        <w:kinsoku/>
        <w:wordWrap/>
        <w:overflowPunct/>
        <w:topLinePunct w:val="0"/>
        <w:autoSpaceDE/>
        <w:autoSpaceDN/>
        <w:bidi w:val="0"/>
        <w:adjustRightInd w:val="0"/>
        <w:snapToGrid w:val="0"/>
        <w:spacing w:beforeAutospacing="0" w:afterAutospacing="0" w:line="360" w:lineRule="auto"/>
        <w:ind w:right="0" w:firstLine="360"/>
        <w:jc w:val="center"/>
        <w:textAlignment w:val="auto"/>
        <w:rPr>
          <w:rFonts w:hint="eastAsia" w:ascii="宋体" w:hAnsi="宋体" w:eastAsia="宋体" w:cs="宋体"/>
          <w:sz w:val="18"/>
          <w:szCs w:val="18"/>
          <w:lang w:val="en-US" w:eastAsia="zh-CN" w:bidi="ar"/>
        </w:rPr>
      </w:pPr>
      <w:r>
        <w:rPr>
          <w:rFonts w:hint="eastAsia" w:ascii="宋体" w:hAnsi="宋体" w:eastAsia="宋体" w:cs="宋体"/>
          <w:sz w:val="18"/>
          <w:szCs w:val="18"/>
          <w:lang w:bidi="ar"/>
        </w:rPr>
        <w:t>表</w:t>
      </w:r>
      <w:r>
        <w:rPr>
          <w:rFonts w:hint="eastAsia" w:ascii="宋体" w:hAnsi="宋体" w:eastAsia="宋体" w:cs="宋体"/>
          <w:sz w:val="18"/>
          <w:szCs w:val="18"/>
          <w:lang w:val="en-US" w:eastAsia="zh-CN" w:bidi="ar"/>
        </w:rPr>
        <w:t>3 研究主题论证</w:t>
      </w:r>
    </w:p>
    <w:tbl>
      <w:tblPr>
        <w:tblStyle w:val="18"/>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5C4F1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095" w:type="dxa"/>
            <w:shd w:val="clear" w:color="auto" w:fill="E6E6E6"/>
            <w:noWrap w:val="0"/>
            <w:vAlign w:val="center"/>
          </w:tcPr>
          <w:p w14:paraId="32C8563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一级模块</w:t>
            </w:r>
          </w:p>
        </w:tc>
        <w:tc>
          <w:tcPr>
            <w:tcW w:w="1240" w:type="dxa"/>
            <w:shd w:val="clear" w:color="auto" w:fill="E6E6E6"/>
            <w:noWrap w:val="0"/>
            <w:vAlign w:val="center"/>
          </w:tcPr>
          <w:p w14:paraId="35B920D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二级模块</w:t>
            </w:r>
          </w:p>
        </w:tc>
        <w:tc>
          <w:tcPr>
            <w:tcW w:w="5058" w:type="dxa"/>
            <w:shd w:val="clear" w:color="auto" w:fill="E6E6E6"/>
            <w:noWrap w:val="0"/>
            <w:vAlign w:val="center"/>
          </w:tcPr>
          <w:p w14:paraId="45281AE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实验项目名称</w:t>
            </w:r>
          </w:p>
        </w:tc>
        <w:tc>
          <w:tcPr>
            <w:tcW w:w="1356" w:type="dxa"/>
            <w:shd w:val="clear" w:color="auto" w:fill="E6E6E6"/>
            <w:noWrap w:val="0"/>
            <w:vAlign w:val="center"/>
          </w:tcPr>
          <w:p w14:paraId="617DC47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涉及平台</w:t>
            </w:r>
          </w:p>
        </w:tc>
      </w:tr>
      <w:tr w14:paraId="69243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restart"/>
            <w:noWrap w:val="0"/>
            <w:vAlign w:val="center"/>
          </w:tcPr>
          <w:p w14:paraId="60B3D35F">
            <w:pPr>
              <w:pageBreakBefore w:val="0"/>
              <w:widowControl w:val="0"/>
              <w:tabs>
                <w:tab w:val="left" w:pos="1320"/>
              </w:tabs>
              <w:kinsoku/>
              <w:wordWrap/>
              <w:overflowPunct/>
              <w:topLinePunct w:val="0"/>
              <w:autoSpaceDE/>
              <w:autoSpaceDN/>
              <w:bidi w:val="0"/>
              <w:adjustRightInd w:val="0"/>
              <w:snapToGrid w:val="0"/>
              <w:spacing w:beforeAutospacing="0" w:afterAutospacing="0" w:line="360" w:lineRule="auto"/>
              <w:ind w:right="0" w:firstLine="0" w:firstLineChars="0"/>
              <w:jc w:val="center"/>
              <w:textAlignment w:val="auto"/>
              <w:rPr>
                <w:rFonts w:hint="eastAsia" w:ascii="宋体" w:hAnsi="宋体" w:eastAsia="宋体" w:cs="宋体"/>
                <w:sz w:val="18"/>
                <w:szCs w:val="18"/>
                <w:lang w:bidi="ar"/>
              </w:rPr>
            </w:pPr>
            <w:r>
              <w:rPr>
                <w:rFonts w:hint="eastAsia" w:ascii="宋体" w:hAnsi="宋体" w:eastAsia="宋体" w:cs="宋体"/>
                <w:sz w:val="18"/>
                <w:szCs w:val="18"/>
                <w:lang w:bidi="ar"/>
              </w:rPr>
              <w:br w:type="textWrapping"/>
            </w:r>
            <w:r>
              <w:rPr>
                <w:rFonts w:hint="eastAsia" w:ascii="宋体" w:hAnsi="宋体" w:eastAsia="宋体" w:cs="宋体"/>
                <w:sz w:val="18"/>
                <w:szCs w:val="18"/>
                <w:lang w:val="en-US" w:eastAsia="zh-CN" w:bidi="ar"/>
              </w:rPr>
              <w:t>研究主题论证</w:t>
            </w:r>
          </w:p>
          <w:p w14:paraId="69D5562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16B7BE4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实验准备</w:t>
            </w:r>
          </w:p>
        </w:tc>
        <w:tc>
          <w:tcPr>
            <w:tcW w:w="5058" w:type="dxa"/>
            <w:noWrap w:val="0"/>
            <w:vAlign w:val="center"/>
          </w:tcPr>
          <w:p w14:paraId="4CF9804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准备</w:t>
            </w:r>
            <w:r>
              <w:rPr>
                <w:rFonts w:hint="eastAsia" w:ascii="宋体" w:hAnsi="宋体" w:eastAsia="宋体" w:cs="宋体"/>
                <w:spacing w:val="10"/>
                <w:sz w:val="18"/>
                <w:szCs w:val="18"/>
              </w:rPr>
              <w:t>论文仿写</w:t>
            </w:r>
            <w:r>
              <w:rPr>
                <w:rFonts w:hint="eastAsia" w:ascii="宋体" w:hAnsi="宋体" w:eastAsia="宋体" w:cs="宋体"/>
                <w:spacing w:val="10"/>
                <w:sz w:val="18"/>
                <w:szCs w:val="18"/>
                <w:lang w:val="en-US" w:eastAsia="zh-CN"/>
              </w:rPr>
              <w:t>文档及提示词</w:t>
            </w:r>
          </w:p>
        </w:tc>
        <w:tc>
          <w:tcPr>
            <w:tcW w:w="1356" w:type="dxa"/>
            <w:vMerge w:val="restart"/>
            <w:noWrap w:val="0"/>
            <w:vAlign w:val="center"/>
          </w:tcPr>
          <w:p w14:paraId="2CE435F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val="en-US" w:eastAsia="zh-CN"/>
              </w:rPr>
              <w:t>国内AI大模型</w:t>
            </w:r>
          </w:p>
        </w:tc>
      </w:tr>
      <w:tr w14:paraId="1BAA53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3A7223F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68C8E46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center"/>
          </w:tcPr>
          <w:p w14:paraId="61A4EFB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打开并登录国内AI平台</w:t>
            </w:r>
          </w:p>
        </w:tc>
        <w:tc>
          <w:tcPr>
            <w:tcW w:w="1356" w:type="dxa"/>
            <w:vMerge w:val="continue"/>
            <w:noWrap w:val="0"/>
            <w:vAlign w:val="center"/>
          </w:tcPr>
          <w:p w14:paraId="0375981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pacing w:val="10"/>
                <w:sz w:val="18"/>
                <w:szCs w:val="18"/>
              </w:rPr>
            </w:pPr>
          </w:p>
        </w:tc>
      </w:tr>
      <w:tr w14:paraId="274514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51C077B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6C0C6DE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实验实施步骤</w:t>
            </w:r>
          </w:p>
        </w:tc>
        <w:tc>
          <w:tcPr>
            <w:tcW w:w="5058" w:type="dxa"/>
            <w:noWrap w:val="0"/>
            <w:vAlign w:val="center"/>
          </w:tcPr>
          <w:p w14:paraId="45BF692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打开国内AI平台的学术咨询界面，输入关键词</w:t>
            </w:r>
          </w:p>
        </w:tc>
        <w:tc>
          <w:tcPr>
            <w:tcW w:w="1356" w:type="dxa"/>
            <w:vMerge w:val="continue"/>
            <w:noWrap w:val="0"/>
            <w:vAlign w:val="center"/>
          </w:tcPr>
          <w:p w14:paraId="79CA619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05F54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095" w:type="dxa"/>
            <w:vMerge w:val="continue"/>
            <w:noWrap w:val="0"/>
            <w:vAlign w:val="center"/>
          </w:tcPr>
          <w:p w14:paraId="7157EEF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3FCCFFB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top"/>
          </w:tcPr>
          <w:p w14:paraId="5CD3DD8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研究情况查询并核实</w:t>
            </w:r>
          </w:p>
        </w:tc>
        <w:tc>
          <w:tcPr>
            <w:tcW w:w="1356" w:type="dxa"/>
            <w:vMerge w:val="continue"/>
            <w:noWrap w:val="0"/>
            <w:vAlign w:val="center"/>
          </w:tcPr>
          <w:p w14:paraId="6BE934E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31BE2F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95" w:type="dxa"/>
            <w:vMerge w:val="continue"/>
            <w:noWrap w:val="0"/>
            <w:vAlign w:val="center"/>
          </w:tcPr>
          <w:p w14:paraId="188ECCC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noWrap w:val="0"/>
            <w:vAlign w:val="center"/>
          </w:tcPr>
          <w:p w14:paraId="3C028FD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r>
              <w:rPr>
                <w:rFonts w:hint="eastAsia" w:ascii="宋体" w:hAnsi="宋体" w:eastAsia="宋体" w:cs="宋体"/>
                <w:sz w:val="18"/>
                <w:szCs w:val="18"/>
              </w:rPr>
              <w:t>实验总结</w:t>
            </w:r>
          </w:p>
        </w:tc>
        <w:tc>
          <w:tcPr>
            <w:tcW w:w="5058" w:type="dxa"/>
            <w:noWrap w:val="0"/>
            <w:vAlign w:val="center"/>
          </w:tcPr>
          <w:p w14:paraId="3BA29F7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论证论文主题意义，形成论文问题研究导向</w:t>
            </w:r>
          </w:p>
        </w:tc>
        <w:tc>
          <w:tcPr>
            <w:tcW w:w="1356" w:type="dxa"/>
            <w:vMerge w:val="continue"/>
            <w:noWrap w:val="0"/>
            <w:vAlign w:val="center"/>
          </w:tcPr>
          <w:p w14:paraId="755EAAA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bl>
    <w:p w14:paraId="240DD192">
      <w:pPr>
        <w:pageBreakBefore w:val="0"/>
        <w:widowControl w:val="0"/>
        <w:numPr>
          <w:ilvl w:val="0"/>
          <w:numId w:val="10"/>
        </w:numPr>
        <w:kinsoku/>
        <w:wordWrap/>
        <w:overflowPunct/>
        <w:topLinePunct w:val="0"/>
        <w:autoSpaceDE/>
        <w:autoSpaceDN/>
        <w:bidi w:val="0"/>
        <w:adjustRightInd w:val="0"/>
        <w:snapToGrid w:val="0"/>
        <w:spacing w:beforeAutospacing="0" w:afterAutospacing="0" w:line="360" w:lineRule="auto"/>
        <w:ind w:right="0" w:firstLine="422"/>
        <w:textAlignment w:val="auto"/>
        <w:rPr>
          <w:rFonts w:hint="eastAsia" w:ascii="宋体" w:hAnsi="宋体" w:eastAsia="宋体" w:cs="宋体"/>
          <w:b/>
          <w:sz w:val="21"/>
          <w:szCs w:val="21"/>
        </w:rPr>
      </w:pPr>
      <w:r>
        <w:rPr>
          <w:rFonts w:hint="eastAsia" w:ascii="宋体" w:hAnsi="宋体" w:eastAsia="宋体" w:cs="宋体"/>
          <w:b/>
          <w:sz w:val="21"/>
          <w:szCs w:val="21"/>
        </w:rPr>
        <w:t>实验流程（工作程序）</w:t>
      </w:r>
    </w:p>
    <w:p w14:paraId="7C9985BA">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rPr>
      </w:pPr>
      <w:r>
        <w:rPr>
          <w:rFonts w:hint="eastAsia" w:ascii="宋体" w:hAnsi="宋体" w:eastAsia="宋体" w:cs="宋体"/>
          <w:sz w:val="21"/>
          <w:szCs w:val="21"/>
        </w:rPr>
        <w:t>了解实验背景、实验目标</w:t>
      </w:r>
    </w:p>
    <w:p w14:paraId="4B0AD04F">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根据整理的论文仿写思路后打开并登录国内AI平台</w:t>
      </w:r>
    </w:p>
    <w:p w14:paraId="06D093EE">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利用国内AI论证主题研究意义</w:t>
      </w:r>
    </w:p>
    <w:p w14:paraId="2AF6E909">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研究情况查询并核实</w:t>
      </w:r>
    </w:p>
    <w:p w14:paraId="5EE21CB8">
      <w:pPr>
        <w:pageBreakBefore w:val="0"/>
        <w:widowControl w:val="0"/>
        <w:numPr>
          <w:ilvl w:val="0"/>
          <w:numId w:val="10"/>
        </w:numPr>
        <w:kinsoku/>
        <w:wordWrap/>
        <w:overflowPunct/>
        <w:topLinePunct w:val="0"/>
        <w:autoSpaceDE/>
        <w:autoSpaceDN/>
        <w:bidi w:val="0"/>
        <w:adjustRightInd w:val="0"/>
        <w:snapToGrid w:val="0"/>
        <w:spacing w:beforeAutospacing="0" w:afterAutospacing="0" w:line="360" w:lineRule="auto"/>
        <w:ind w:right="0" w:firstLine="422"/>
        <w:textAlignment w:val="auto"/>
        <w:rPr>
          <w:rFonts w:hint="eastAsia" w:ascii="宋体" w:hAnsi="宋体" w:eastAsia="宋体" w:cs="宋体"/>
          <w:b/>
          <w:sz w:val="21"/>
          <w:szCs w:val="21"/>
        </w:rPr>
      </w:pPr>
      <w:r>
        <w:rPr>
          <w:rFonts w:hint="eastAsia" w:ascii="宋体" w:hAnsi="宋体" w:eastAsia="宋体" w:cs="宋体"/>
          <w:b/>
          <w:sz w:val="21"/>
          <w:szCs w:val="21"/>
        </w:rPr>
        <w:t>实验成果</w:t>
      </w:r>
    </w:p>
    <w:p w14:paraId="23EEBA41">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论证论文主题意义，形成论文问题研究导向</w:t>
      </w:r>
    </w:p>
    <w:p w14:paraId="6B5740EB">
      <w:pPr>
        <w:pageBreakBefore w:val="0"/>
        <w:widowControl w:val="0"/>
        <w:kinsoku/>
        <w:wordWrap/>
        <w:overflowPunct/>
        <w:topLinePunct w:val="0"/>
        <w:autoSpaceDE/>
        <w:autoSpaceDN/>
        <w:bidi w:val="0"/>
        <w:adjustRightInd w:val="0"/>
        <w:snapToGrid w:val="0"/>
        <w:spacing w:beforeAutospacing="0" w:afterAutospacing="0" w:line="360" w:lineRule="auto"/>
        <w:ind w:left="0" w:leftChars="0" w:right="0" w:firstLine="0" w:firstLineChars="0"/>
        <w:textAlignment w:val="auto"/>
        <w:rPr>
          <w:rFonts w:hint="eastAsia" w:ascii="宋体" w:hAnsi="宋体" w:eastAsia="宋体" w:cs="宋体"/>
        </w:rPr>
      </w:pPr>
      <w:r>
        <w:rPr>
          <w:rFonts w:hint="eastAsia" w:ascii="宋体" w:hAnsi="宋体" w:eastAsia="宋体" w:cs="宋体"/>
        </w:rPr>
        <w:drawing>
          <wp:inline distT="0" distB="0" distL="114300" distR="114300">
            <wp:extent cx="5272405" cy="2302510"/>
            <wp:effectExtent l="0" t="0" r="4445" b="2540"/>
            <wp:docPr id="6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55"/>
                    <pic:cNvPicPr>
                      <a:picLocks noChangeAspect="1"/>
                    </pic:cNvPicPr>
                  </pic:nvPicPr>
                  <pic:blipFill>
                    <a:blip r:embed="rId27"/>
                    <a:stretch>
                      <a:fillRect/>
                    </a:stretch>
                  </pic:blipFill>
                  <pic:spPr>
                    <a:xfrm>
                      <a:off x="0" y="0"/>
                      <a:ext cx="5272405" cy="2302510"/>
                    </a:xfrm>
                    <a:prstGeom prst="rect">
                      <a:avLst/>
                    </a:prstGeom>
                    <a:noFill/>
                    <a:ln>
                      <a:noFill/>
                    </a:ln>
                  </pic:spPr>
                </pic:pic>
              </a:graphicData>
            </a:graphic>
          </wp:inline>
        </w:drawing>
      </w:r>
      <w:r>
        <w:rPr>
          <w:rFonts w:hint="eastAsia" w:ascii="宋体" w:hAnsi="宋体" w:eastAsia="宋体" w:cs="宋体"/>
        </w:rPr>
        <w:drawing>
          <wp:inline distT="0" distB="0" distL="114300" distR="114300">
            <wp:extent cx="5264150" cy="2454275"/>
            <wp:effectExtent l="0" t="0" r="12700" b="3175"/>
            <wp:docPr id="64"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56"/>
                    <pic:cNvPicPr>
                      <a:picLocks noChangeAspect="1"/>
                    </pic:cNvPicPr>
                  </pic:nvPicPr>
                  <pic:blipFill>
                    <a:blip r:embed="rId28"/>
                    <a:stretch>
                      <a:fillRect/>
                    </a:stretch>
                  </pic:blipFill>
                  <pic:spPr>
                    <a:xfrm>
                      <a:off x="0" y="0"/>
                      <a:ext cx="5264150" cy="2454275"/>
                    </a:xfrm>
                    <a:prstGeom prst="rect">
                      <a:avLst/>
                    </a:prstGeom>
                    <a:noFill/>
                    <a:ln>
                      <a:noFill/>
                    </a:ln>
                  </pic:spPr>
                </pic:pic>
              </a:graphicData>
            </a:graphic>
          </wp:inline>
        </w:drawing>
      </w:r>
    </w:p>
    <w:p w14:paraId="3FBAF25F">
      <w:pPr>
        <w:pStyle w:val="6"/>
        <w:keepNext/>
        <w:keepLines/>
        <w:pageBreakBefore w:val="0"/>
        <w:widowControl w:val="0"/>
        <w:numPr>
          <w:ilvl w:val="1"/>
          <w:numId w:val="5"/>
        </w:numPr>
        <w:tabs>
          <w:tab w:val="left" w:pos="1320"/>
        </w:tabs>
        <w:kinsoku/>
        <w:wordWrap/>
        <w:overflowPunct/>
        <w:topLinePunct w:val="0"/>
        <w:autoSpaceDE/>
        <w:autoSpaceDN/>
        <w:bidi w:val="0"/>
        <w:adjustRightInd w:val="0"/>
        <w:snapToGrid w:val="0"/>
        <w:spacing w:beforeAutospacing="0" w:afterAutospacing="0" w:line="360" w:lineRule="auto"/>
        <w:ind w:left="0" w:right="0" w:firstLine="422" w:firstLineChars="200"/>
        <w:textAlignment w:val="auto"/>
        <w:outlineLvl w:val="2"/>
        <w:rPr>
          <w:rFonts w:hint="eastAsia" w:ascii="宋体" w:hAnsi="宋体" w:eastAsia="宋体" w:cs="宋体"/>
          <w:b/>
          <w:sz w:val="21"/>
          <w:szCs w:val="21"/>
          <w:lang w:val="en-US" w:eastAsia="zh-CN"/>
        </w:rPr>
      </w:pPr>
      <w:bookmarkStart w:id="26" w:name="_Toc7498"/>
      <w:bookmarkStart w:id="27" w:name="_Toc30186"/>
      <w:bookmarkStart w:id="28" w:name="_Toc22242"/>
      <w:bookmarkStart w:id="29" w:name="_Toc15305"/>
      <w:r>
        <w:rPr>
          <w:rFonts w:hint="eastAsia" w:ascii="宋体" w:hAnsi="宋体" w:eastAsia="宋体" w:cs="宋体"/>
          <w:b/>
          <w:sz w:val="21"/>
          <w:szCs w:val="21"/>
          <w:lang w:val="en-US" w:eastAsia="zh-CN"/>
        </w:rPr>
        <w:t>提出假说</w:t>
      </w:r>
      <w:bookmarkEnd w:id="26"/>
      <w:bookmarkEnd w:id="27"/>
      <w:bookmarkEnd w:id="28"/>
      <w:bookmarkEnd w:id="29"/>
    </w:p>
    <w:p w14:paraId="2C70F0D8">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实验背景</w:t>
      </w:r>
    </w:p>
    <w:p w14:paraId="35121B42">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确定论文研究方向后，还需要根据研究导向，提出问题假说，但由于缺乏足够的背景知识来形成有根据的假说，</w:t>
      </w:r>
      <w:r>
        <w:rPr>
          <w:rFonts w:hint="eastAsia" w:ascii="宋体" w:hAnsi="宋体" w:eastAsia="宋体" w:cs="宋体"/>
          <w:i w:val="0"/>
          <w:iCs w:val="0"/>
          <w:caps w:val="0"/>
          <w:color w:val="060607"/>
          <w:spacing w:val="4"/>
          <w:sz w:val="21"/>
          <w:szCs w:val="21"/>
          <w:shd w:val="clear" w:color="auto" w:fill="FFFFFF"/>
        </w:rPr>
        <w:t>难以识别真正的研究空白，可能会重复他人的工作</w:t>
      </w:r>
      <w:r>
        <w:rPr>
          <w:rFonts w:hint="eastAsia" w:ascii="宋体" w:hAnsi="宋体" w:eastAsia="宋体" w:cs="宋体"/>
          <w:i w:val="0"/>
          <w:iCs w:val="0"/>
          <w:caps w:val="0"/>
          <w:color w:val="060607"/>
          <w:spacing w:val="4"/>
          <w:sz w:val="21"/>
          <w:szCs w:val="21"/>
          <w:shd w:val="clear" w:color="auto" w:fill="FFFFFF"/>
          <w:lang w:eastAsia="zh-CN"/>
        </w:rPr>
        <w:t>。</w:t>
      </w:r>
      <w:r>
        <w:rPr>
          <w:rFonts w:hint="eastAsia" w:ascii="宋体" w:hAnsi="宋体" w:eastAsia="宋体" w:cs="宋体"/>
          <w:i w:val="0"/>
          <w:iCs w:val="0"/>
          <w:caps w:val="0"/>
          <w:color w:val="060607"/>
          <w:spacing w:val="4"/>
          <w:sz w:val="21"/>
          <w:szCs w:val="21"/>
          <w:shd w:val="clear" w:color="auto" w:fill="FFFFFF"/>
          <w:lang w:val="en-US" w:eastAsia="zh-CN"/>
        </w:rPr>
        <w:t>如何</w:t>
      </w:r>
      <w:r>
        <w:rPr>
          <w:rFonts w:hint="eastAsia" w:ascii="宋体" w:hAnsi="宋体" w:eastAsia="宋体" w:cs="宋体"/>
          <w:i w:val="0"/>
          <w:iCs w:val="0"/>
          <w:caps w:val="0"/>
          <w:color w:val="060607"/>
          <w:spacing w:val="4"/>
          <w:sz w:val="21"/>
          <w:szCs w:val="21"/>
          <w:shd w:val="clear" w:color="auto" w:fill="FFFFFF"/>
        </w:rPr>
        <w:t>构建一个合理且有说服力的理论框架可能需要深入的专业知识</w:t>
      </w:r>
      <w:r>
        <w:rPr>
          <w:rFonts w:hint="eastAsia" w:ascii="宋体" w:hAnsi="宋体" w:eastAsia="宋体" w:cs="宋体"/>
          <w:i w:val="0"/>
          <w:iCs w:val="0"/>
          <w:caps w:val="0"/>
          <w:color w:val="060607"/>
          <w:spacing w:val="4"/>
          <w:sz w:val="21"/>
          <w:szCs w:val="21"/>
          <w:shd w:val="clear" w:color="auto" w:fill="FFFFFF"/>
          <w:lang w:eastAsia="zh-CN"/>
        </w:rPr>
        <w:t>，</w:t>
      </w:r>
      <w:r>
        <w:rPr>
          <w:rFonts w:hint="eastAsia" w:ascii="宋体" w:hAnsi="宋体" w:eastAsia="宋体" w:cs="宋体"/>
          <w:i w:val="0"/>
          <w:iCs w:val="0"/>
          <w:caps w:val="0"/>
          <w:color w:val="060607"/>
          <w:spacing w:val="4"/>
          <w:sz w:val="21"/>
          <w:szCs w:val="21"/>
          <w:shd w:val="clear" w:color="auto" w:fill="FFFFFF"/>
          <w:lang w:val="en-US" w:eastAsia="zh-CN"/>
        </w:rPr>
        <w:t>也逐渐成为亟待解决的。</w:t>
      </w:r>
    </w:p>
    <w:p w14:paraId="191DE01F">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实验内容</w:t>
      </w:r>
    </w:p>
    <w:p w14:paraId="5FBC2F63">
      <w:pPr>
        <w:pageBreakBefore w:val="0"/>
        <w:widowControl w:val="0"/>
        <w:kinsoku/>
        <w:wordWrap/>
        <w:overflowPunct/>
        <w:topLinePunct w:val="0"/>
        <w:autoSpaceDE/>
        <w:autoSpaceDN/>
        <w:bidi w:val="0"/>
        <w:adjustRightInd w:val="0"/>
        <w:snapToGrid w:val="0"/>
        <w:spacing w:beforeAutospacing="0" w:afterAutospacing="0" w:line="360" w:lineRule="auto"/>
        <w:ind w:right="0" w:firstLine="360"/>
        <w:jc w:val="center"/>
        <w:textAlignment w:val="auto"/>
        <w:rPr>
          <w:rFonts w:hint="eastAsia" w:ascii="宋体" w:hAnsi="宋体" w:eastAsia="宋体" w:cs="宋体"/>
          <w:sz w:val="18"/>
          <w:szCs w:val="18"/>
          <w:lang w:val="en-US" w:eastAsia="zh-CN" w:bidi="ar"/>
        </w:rPr>
      </w:pPr>
      <w:r>
        <w:rPr>
          <w:rFonts w:hint="eastAsia" w:ascii="宋体" w:hAnsi="宋体" w:eastAsia="宋体" w:cs="宋体"/>
          <w:sz w:val="18"/>
          <w:szCs w:val="18"/>
          <w:lang w:bidi="ar"/>
        </w:rPr>
        <w:t>表</w:t>
      </w:r>
      <w:r>
        <w:rPr>
          <w:rFonts w:hint="eastAsia" w:ascii="宋体" w:hAnsi="宋体" w:eastAsia="宋体" w:cs="宋体"/>
          <w:sz w:val="18"/>
          <w:szCs w:val="18"/>
          <w:lang w:val="en-US" w:eastAsia="zh-CN" w:bidi="ar"/>
        </w:rPr>
        <w:t>4 提出假说</w:t>
      </w:r>
    </w:p>
    <w:tbl>
      <w:tblPr>
        <w:tblStyle w:val="18"/>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2A5BE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095" w:type="dxa"/>
            <w:shd w:val="clear" w:color="auto" w:fill="E6E6E6"/>
            <w:noWrap w:val="0"/>
            <w:vAlign w:val="center"/>
          </w:tcPr>
          <w:p w14:paraId="28EE30B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一级模块</w:t>
            </w:r>
          </w:p>
        </w:tc>
        <w:tc>
          <w:tcPr>
            <w:tcW w:w="1240" w:type="dxa"/>
            <w:shd w:val="clear" w:color="auto" w:fill="E6E6E6"/>
            <w:noWrap w:val="0"/>
            <w:vAlign w:val="center"/>
          </w:tcPr>
          <w:p w14:paraId="4A51B18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二级模块</w:t>
            </w:r>
          </w:p>
        </w:tc>
        <w:tc>
          <w:tcPr>
            <w:tcW w:w="5058" w:type="dxa"/>
            <w:shd w:val="clear" w:color="auto" w:fill="E6E6E6"/>
            <w:noWrap w:val="0"/>
            <w:vAlign w:val="center"/>
          </w:tcPr>
          <w:p w14:paraId="690F44C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实验项目名称</w:t>
            </w:r>
          </w:p>
        </w:tc>
        <w:tc>
          <w:tcPr>
            <w:tcW w:w="1356" w:type="dxa"/>
            <w:shd w:val="clear" w:color="auto" w:fill="E6E6E6"/>
            <w:noWrap w:val="0"/>
            <w:vAlign w:val="center"/>
          </w:tcPr>
          <w:p w14:paraId="20F4265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涉及平台</w:t>
            </w:r>
          </w:p>
        </w:tc>
      </w:tr>
      <w:tr w14:paraId="21C5DF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restart"/>
            <w:noWrap w:val="0"/>
            <w:vAlign w:val="center"/>
          </w:tcPr>
          <w:p w14:paraId="61BCA7F2">
            <w:pPr>
              <w:pageBreakBefore w:val="0"/>
              <w:widowControl w:val="0"/>
              <w:tabs>
                <w:tab w:val="left" w:pos="1320"/>
              </w:tabs>
              <w:kinsoku/>
              <w:wordWrap/>
              <w:overflowPunct/>
              <w:topLinePunct w:val="0"/>
              <w:autoSpaceDE/>
              <w:autoSpaceDN/>
              <w:bidi w:val="0"/>
              <w:adjustRightInd w:val="0"/>
              <w:snapToGrid w:val="0"/>
              <w:spacing w:beforeAutospacing="0" w:afterAutospacing="0" w:line="360" w:lineRule="auto"/>
              <w:ind w:right="0" w:firstLine="0" w:firstLineChars="0"/>
              <w:jc w:val="center"/>
              <w:textAlignment w:val="auto"/>
              <w:rPr>
                <w:rFonts w:hint="eastAsia" w:ascii="宋体" w:hAnsi="宋体" w:eastAsia="宋体" w:cs="宋体"/>
                <w:sz w:val="18"/>
                <w:szCs w:val="18"/>
                <w:lang w:bidi="ar"/>
              </w:rPr>
            </w:pPr>
            <w:r>
              <w:rPr>
                <w:rFonts w:hint="eastAsia" w:ascii="宋体" w:hAnsi="宋体" w:eastAsia="宋体" w:cs="宋体"/>
                <w:sz w:val="18"/>
                <w:szCs w:val="18"/>
                <w:lang w:bidi="ar"/>
              </w:rPr>
              <w:br w:type="textWrapping"/>
            </w:r>
            <w:r>
              <w:rPr>
                <w:rFonts w:hint="eastAsia" w:ascii="宋体" w:hAnsi="宋体" w:eastAsia="宋体" w:cs="宋体"/>
                <w:sz w:val="18"/>
                <w:szCs w:val="18"/>
                <w:lang w:bidi="ar"/>
              </w:rPr>
              <w:t>提出假说</w:t>
            </w:r>
          </w:p>
          <w:p w14:paraId="61ECB12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7DF828A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实验准备</w:t>
            </w:r>
          </w:p>
        </w:tc>
        <w:tc>
          <w:tcPr>
            <w:tcW w:w="5058" w:type="dxa"/>
            <w:noWrap w:val="0"/>
            <w:vAlign w:val="center"/>
          </w:tcPr>
          <w:p w14:paraId="5C734FF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准备</w:t>
            </w:r>
            <w:r>
              <w:rPr>
                <w:rFonts w:hint="eastAsia" w:ascii="宋体" w:hAnsi="宋体" w:eastAsia="宋体" w:cs="宋体"/>
                <w:spacing w:val="10"/>
                <w:sz w:val="18"/>
                <w:szCs w:val="18"/>
              </w:rPr>
              <w:t>论文仿写</w:t>
            </w:r>
            <w:r>
              <w:rPr>
                <w:rFonts w:hint="eastAsia" w:ascii="宋体" w:hAnsi="宋体" w:eastAsia="宋体" w:cs="宋体"/>
                <w:spacing w:val="10"/>
                <w:sz w:val="18"/>
                <w:szCs w:val="18"/>
                <w:lang w:val="en-US" w:eastAsia="zh-CN"/>
              </w:rPr>
              <w:t>文档</w:t>
            </w:r>
          </w:p>
        </w:tc>
        <w:tc>
          <w:tcPr>
            <w:tcW w:w="1356" w:type="dxa"/>
            <w:vMerge w:val="restart"/>
            <w:noWrap w:val="0"/>
            <w:vAlign w:val="center"/>
          </w:tcPr>
          <w:p w14:paraId="35E651A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lang w:val="en-US" w:eastAsia="zh-CN"/>
              </w:rPr>
            </w:pPr>
            <w:r>
              <w:rPr>
                <w:rFonts w:hint="eastAsia" w:hAnsi="宋体" w:cs="宋体"/>
                <w:sz w:val="18"/>
                <w:szCs w:val="18"/>
                <w:lang w:val="en-US" w:eastAsia="zh-CN"/>
              </w:rPr>
              <w:t>AI金融计量教学平台</w:t>
            </w:r>
          </w:p>
          <w:p w14:paraId="7A037D8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pacing w:val="10"/>
                <w:sz w:val="18"/>
                <w:szCs w:val="18"/>
                <w:lang w:val="en-US" w:eastAsia="zh-CN"/>
              </w:rPr>
              <w:t>CNKI+WOS</w:t>
            </w:r>
          </w:p>
        </w:tc>
      </w:tr>
      <w:tr w14:paraId="02DC9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62F1363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59349DB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center"/>
          </w:tcPr>
          <w:p w14:paraId="4A2138B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打开并登录CNKI+WOS</w:t>
            </w:r>
          </w:p>
        </w:tc>
        <w:tc>
          <w:tcPr>
            <w:tcW w:w="1356" w:type="dxa"/>
            <w:vMerge w:val="continue"/>
            <w:noWrap w:val="0"/>
            <w:vAlign w:val="center"/>
          </w:tcPr>
          <w:p w14:paraId="03F957B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pacing w:val="10"/>
                <w:sz w:val="18"/>
                <w:szCs w:val="18"/>
              </w:rPr>
            </w:pPr>
          </w:p>
        </w:tc>
      </w:tr>
      <w:tr w14:paraId="43610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178AD5C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4B5B2C4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实验实施步骤</w:t>
            </w:r>
          </w:p>
        </w:tc>
        <w:tc>
          <w:tcPr>
            <w:tcW w:w="5058" w:type="dxa"/>
            <w:noWrap w:val="0"/>
            <w:vAlign w:val="center"/>
          </w:tcPr>
          <w:p w14:paraId="3082F95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查询相关研究假说</w:t>
            </w:r>
          </w:p>
        </w:tc>
        <w:tc>
          <w:tcPr>
            <w:tcW w:w="1356" w:type="dxa"/>
            <w:vMerge w:val="continue"/>
            <w:noWrap w:val="0"/>
            <w:vAlign w:val="center"/>
          </w:tcPr>
          <w:p w14:paraId="4E41268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7E8E59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095" w:type="dxa"/>
            <w:vMerge w:val="continue"/>
            <w:noWrap w:val="0"/>
            <w:vAlign w:val="center"/>
          </w:tcPr>
          <w:p w14:paraId="6902FF7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531C4F6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top"/>
          </w:tcPr>
          <w:p w14:paraId="513E94E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对比CNKI+WOS各文献假说的理论依据</w:t>
            </w:r>
          </w:p>
        </w:tc>
        <w:tc>
          <w:tcPr>
            <w:tcW w:w="1356" w:type="dxa"/>
            <w:vMerge w:val="continue"/>
            <w:noWrap w:val="0"/>
            <w:vAlign w:val="center"/>
          </w:tcPr>
          <w:p w14:paraId="342EE59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1ACD7E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95" w:type="dxa"/>
            <w:vMerge w:val="continue"/>
            <w:noWrap w:val="0"/>
            <w:vAlign w:val="center"/>
          </w:tcPr>
          <w:p w14:paraId="5570CB7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noWrap w:val="0"/>
            <w:vAlign w:val="center"/>
          </w:tcPr>
          <w:p w14:paraId="51E2B35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r>
              <w:rPr>
                <w:rFonts w:hint="eastAsia" w:ascii="宋体" w:hAnsi="宋体" w:eastAsia="宋体" w:cs="宋体"/>
                <w:sz w:val="18"/>
                <w:szCs w:val="18"/>
              </w:rPr>
              <w:t>实验总结</w:t>
            </w:r>
          </w:p>
        </w:tc>
        <w:tc>
          <w:tcPr>
            <w:tcW w:w="5058" w:type="dxa"/>
            <w:noWrap w:val="0"/>
            <w:vAlign w:val="center"/>
          </w:tcPr>
          <w:p w14:paraId="6AD925C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总结并提出研究假说</w:t>
            </w:r>
          </w:p>
        </w:tc>
        <w:tc>
          <w:tcPr>
            <w:tcW w:w="1356" w:type="dxa"/>
            <w:vMerge w:val="continue"/>
            <w:noWrap w:val="0"/>
            <w:vAlign w:val="center"/>
          </w:tcPr>
          <w:p w14:paraId="33619C8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bl>
    <w:p w14:paraId="3D2A95CF">
      <w:pPr>
        <w:pageBreakBefore w:val="0"/>
        <w:widowControl w:val="0"/>
        <w:numPr>
          <w:ilvl w:val="0"/>
          <w:numId w:val="11"/>
        </w:numPr>
        <w:kinsoku/>
        <w:wordWrap/>
        <w:overflowPunct/>
        <w:topLinePunct w:val="0"/>
        <w:autoSpaceDE/>
        <w:autoSpaceDN/>
        <w:bidi w:val="0"/>
        <w:adjustRightInd w:val="0"/>
        <w:snapToGrid w:val="0"/>
        <w:spacing w:beforeAutospacing="0" w:afterAutospacing="0" w:line="360" w:lineRule="auto"/>
        <w:ind w:right="0" w:firstLine="422"/>
        <w:textAlignment w:val="auto"/>
        <w:rPr>
          <w:rFonts w:hint="eastAsia" w:ascii="宋体" w:hAnsi="宋体" w:eastAsia="宋体" w:cs="宋体"/>
          <w:b/>
          <w:sz w:val="21"/>
          <w:szCs w:val="21"/>
        </w:rPr>
      </w:pPr>
      <w:r>
        <w:rPr>
          <w:rFonts w:hint="eastAsia" w:ascii="宋体" w:hAnsi="宋体" w:eastAsia="宋体" w:cs="宋体"/>
          <w:b/>
          <w:sz w:val="21"/>
          <w:szCs w:val="21"/>
        </w:rPr>
        <w:t>实验流程（工作程序）</w:t>
      </w:r>
    </w:p>
    <w:p w14:paraId="0B85742C">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rPr>
      </w:pPr>
      <w:r>
        <w:rPr>
          <w:rFonts w:hint="eastAsia" w:ascii="宋体" w:hAnsi="宋体" w:eastAsia="宋体" w:cs="宋体"/>
          <w:sz w:val="21"/>
          <w:szCs w:val="21"/>
        </w:rPr>
        <w:t>了解实验背景、实验目标</w:t>
      </w:r>
    </w:p>
    <w:p w14:paraId="7BDDE556">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打开并登录CNKI+WOS，查询相关研究假说</w:t>
      </w:r>
    </w:p>
    <w:p w14:paraId="6F715B2C">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对比CNKI+WOS各文献假说的理论依据</w:t>
      </w:r>
    </w:p>
    <w:p w14:paraId="2FFF603A">
      <w:pPr>
        <w:pageBreakBefore w:val="0"/>
        <w:widowControl w:val="0"/>
        <w:numPr>
          <w:ilvl w:val="0"/>
          <w:numId w:val="11"/>
        </w:numPr>
        <w:kinsoku/>
        <w:wordWrap/>
        <w:overflowPunct/>
        <w:topLinePunct w:val="0"/>
        <w:autoSpaceDE/>
        <w:autoSpaceDN/>
        <w:bidi w:val="0"/>
        <w:adjustRightInd w:val="0"/>
        <w:snapToGrid w:val="0"/>
        <w:spacing w:beforeAutospacing="0" w:afterAutospacing="0" w:line="360" w:lineRule="auto"/>
        <w:ind w:right="0" w:firstLine="422"/>
        <w:textAlignment w:val="auto"/>
        <w:rPr>
          <w:rFonts w:hint="eastAsia" w:ascii="宋体" w:hAnsi="宋体" w:eastAsia="宋体" w:cs="宋体"/>
          <w:b/>
          <w:sz w:val="21"/>
          <w:szCs w:val="21"/>
        </w:rPr>
      </w:pPr>
      <w:r>
        <w:rPr>
          <w:rFonts w:hint="eastAsia" w:ascii="宋体" w:hAnsi="宋体" w:eastAsia="宋体" w:cs="宋体"/>
          <w:b/>
          <w:sz w:val="21"/>
          <w:szCs w:val="21"/>
        </w:rPr>
        <w:t>实验成果</w:t>
      </w:r>
    </w:p>
    <w:p w14:paraId="7CE3E88D">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总结并提出研究假说</w:t>
      </w:r>
    </w:p>
    <w:p w14:paraId="714736F4">
      <w:pPr>
        <w:pStyle w:val="6"/>
        <w:keepNext/>
        <w:keepLines/>
        <w:pageBreakBefore w:val="0"/>
        <w:widowControl w:val="0"/>
        <w:numPr>
          <w:ilvl w:val="1"/>
          <w:numId w:val="5"/>
        </w:numPr>
        <w:tabs>
          <w:tab w:val="left" w:pos="1320"/>
        </w:tabs>
        <w:kinsoku/>
        <w:wordWrap/>
        <w:overflowPunct/>
        <w:topLinePunct w:val="0"/>
        <w:autoSpaceDE/>
        <w:autoSpaceDN/>
        <w:bidi w:val="0"/>
        <w:adjustRightInd w:val="0"/>
        <w:snapToGrid w:val="0"/>
        <w:spacing w:beforeAutospacing="0" w:afterAutospacing="0" w:line="360" w:lineRule="auto"/>
        <w:ind w:left="0" w:right="0" w:firstLine="422" w:firstLineChars="200"/>
        <w:textAlignment w:val="auto"/>
        <w:outlineLvl w:val="2"/>
        <w:rPr>
          <w:rFonts w:hint="eastAsia" w:ascii="宋体" w:hAnsi="宋体" w:eastAsia="宋体" w:cs="宋体"/>
          <w:b/>
          <w:sz w:val="21"/>
          <w:szCs w:val="21"/>
          <w:lang w:val="en-US" w:eastAsia="zh-CN"/>
        </w:rPr>
      </w:pPr>
      <w:bookmarkStart w:id="30" w:name="_Toc26759"/>
      <w:bookmarkStart w:id="31" w:name="_Toc3170"/>
      <w:bookmarkStart w:id="32" w:name="_Toc18752"/>
      <w:bookmarkStart w:id="33" w:name="_Toc23528"/>
      <w:r>
        <w:rPr>
          <w:rFonts w:hint="eastAsia" w:ascii="宋体" w:hAnsi="宋体" w:eastAsia="宋体" w:cs="宋体"/>
          <w:b/>
          <w:sz w:val="21"/>
          <w:szCs w:val="21"/>
          <w:lang w:val="en-US" w:eastAsia="zh-CN"/>
        </w:rPr>
        <w:t>实证分析</w:t>
      </w:r>
      <w:bookmarkEnd w:id="30"/>
      <w:bookmarkEnd w:id="31"/>
      <w:bookmarkEnd w:id="32"/>
      <w:bookmarkEnd w:id="33"/>
    </w:p>
    <w:p w14:paraId="363899FF">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实验背景</w:t>
      </w:r>
    </w:p>
    <w:p w14:paraId="3FA0C82F">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以前做计量分析的时候，</w:t>
      </w:r>
      <w:r>
        <w:rPr>
          <w:rFonts w:hint="eastAsia" w:ascii="宋体" w:hAnsi="宋体" w:eastAsia="宋体" w:cs="宋体"/>
          <w:sz w:val="21"/>
          <w:szCs w:val="21"/>
          <w:lang w:val="en-US" w:eastAsia="zh-CN"/>
        </w:rPr>
        <w:t>通常是借助stata、Eviews、R、spss、Python软件进行计量建模等，通常是</w:t>
      </w:r>
      <w:r>
        <w:rPr>
          <w:rFonts w:hint="eastAsia" w:ascii="宋体" w:hAnsi="宋体" w:eastAsia="宋体" w:cs="宋体"/>
          <w:sz w:val="21"/>
          <w:szCs w:val="21"/>
        </w:rPr>
        <w:t>首先下载数据，然后清洗数据，接着还要处理面板数据，最后输入一大串代码才能进行回归分析</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不仅步骤烦琐，还有一大堆软件需要学习，甚至记不住相关代码</w:t>
      </w:r>
      <w:r>
        <w:rPr>
          <w:rFonts w:hint="eastAsia" w:ascii="宋体" w:hAnsi="宋体" w:eastAsia="宋体" w:cs="宋体"/>
          <w:sz w:val="21"/>
          <w:szCs w:val="21"/>
        </w:rPr>
        <w:t>。那有没有更简便的方法</w:t>
      </w:r>
      <w:r>
        <w:rPr>
          <w:rFonts w:hint="eastAsia" w:ascii="宋体" w:hAnsi="宋体" w:eastAsia="宋体" w:cs="宋体"/>
          <w:sz w:val="21"/>
          <w:szCs w:val="21"/>
          <w:lang w:val="en-US" w:eastAsia="zh-CN"/>
        </w:rPr>
        <w:t>快速实现数据处理、数据分析、计量建模测算呢？</w:t>
      </w:r>
    </w:p>
    <w:p w14:paraId="7C2116C2">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借用</w:t>
      </w:r>
      <w:r>
        <w:rPr>
          <w:rFonts w:hint="eastAsia" w:ascii="宋体" w:hAnsi="宋体" w:cs="宋体"/>
          <w:sz w:val="21"/>
          <w:szCs w:val="21"/>
          <w:lang w:val="en-US" w:eastAsia="zh-CN"/>
        </w:rPr>
        <w:t>AI金融计量</w:t>
      </w:r>
      <w:r>
        <w:rPr>
          <w:rFonts w:hint="eastAsia" w:ascii="宋体" w:hAnsi="宋体" w:eastAsia="宋体" w:cs="宋体"/>
          <w:sz w:val="21"/>
          <w:szCs w:val="21"/>
          <w:lang w:val="en-US" w:eastAsia="zh-CN"/>
        </w:rPr>
        <w:t>平台，全程低代码，拖拉拽方式实现读取数据、数据预处理、各类检验、数据可视化、特征工程、文本分析、调试工具、stata计量建模分析等科研分析任务，包括稳健性测试、工具变量检验、作用渠道检验、异质性检验、双重差分模型、双向固定效应模型、渐进双重差分模型、交叠双重差分模型、β收敛模型，统统可以完美复现，还有stata代码和Python代码可以再次验证数据。</w:t>
      </w:r>
    </w:p>
    <w:p w14:paraId="25F627C7">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实验内容</w:t>
      </w:r>
    </w:p>
    <w:p w14:paraId="0A05F8C8">
      <w:pPr>
        <w:pageBreakBefore w:val="0"/>
        <w:widowControl w:val="0"/>
        <w:kinsoku/>
        <w:wordWrap/>
        <w:overflowPunct/>
        <w:topLinePunct w:val="0"/>
        <w:autoSpaceDE/>
        <w:autoSpaceDN/>
        <w:bidi w:val="0"/>
        <w:adjustRightInd w:val="0"/>
        <w:snapToGrid w:val="0"/>
        <w:spacing w:beforeAutospacing="0" w:afterAutospacing="0" w:line="360" w:lineRule="auto"/>
        <w:ind w:right="0" w:firstLine="360"/>
        <w:jc w:val="center"/>
        <w:textAlignment w:val="auto"/>
        <w:rPr>
          <w:rFonts w:hint="eastAsia" w:ascii="宋体" w:hAnsi="宋体" w:eastAsia="宋体" w:cs="宋体"/>
          <w:sz w:val="18"/>
          <w:szCs w:val="18"/>
          <w:lang w:val="en-US" w:eastAsia="zh-CN" w:bidi="ar"/>
        </w:rPr>
      </w:pPr>
      <w:r>
        <w:rPr>
          <w:rFonts w:hint="eastAsia" w:ascii="宋体" w:hAnsi="宋体" w:eastAsia="宋体" w:cs="宋体"/>
          <w:sz w:val="18"/>
          <w:szCs w:val="18"/>
          <w:lang w:bidi="ar"/>
        </w:rPr>
        <w:t>表</w:t>
      </w:r>
      <w:r>
        <w:rPr>
          <w:rFonts w:hint="eastAsia" w:ascii="宋体" w:hAnsi="宋体" w:eastAsia="宋体" w:cs="宋体"/>
          <w:sz w:val="18"/>
          <w:szCs w:val="18"/>
          <w:lang w:val="en-US" w:eastAsia="zh-CN" w:bidi="ar"/>
        </w:rPr>
        <w:t>5 实证分析</w:t>
      </w:r>
    </w:p>
    <w:tbl>
      <w:tblPr>
        <w:tblStyle w:val="18"/>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0"/>
        <w:gridCol w:w="1016"/>
        <w:gridCol w:w="5617"/>
        <w:gridCol w:w="1116"/>
      </w:tblGrid>
      <w:tr w14:paraId="20BD3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000" w:type="dxa"/>
            <w:shd w:val="clear" w:color="auto" w:fill="E6E6E6"/>
            <w:noWrap w:val="0"/>
            <w:vAlign w:val="center"/>
          </w:tcPr>
          <w:p w14:paraId="7357E89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一级模块</w:t>
            </w:r>
          </w:p>
        </w:tc>
        <w:tc>
          <w:tcPr>
            <w:tcW w:w="1016" w:type="dxa"/>
            <w:shd w:val="clear" w:color="auto" w:fill="E6E6E6"/>
            <w:noWrap w:val="0"/>
            <w:vAlign w:val="center"/>
          </w:tcPr>
          <w:p w14:paraId="5DDDE2F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二级模块</w:t>
            </w:r>
          </w:p>
        </w:tc>
        <w:tc>
          <w:tcPr>
            <w:tcW w:w="5617" w:type="dxa"/>
            <w:shd w:val="clear" w:color="auto" w:fill="E6E6E6"/>
            <w:noWrap w:val="0"/>
            <w:vAlign w:val="center"/>
          </w:tcPr>
          <w:p w14:paraId="62C6E7C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实验项目名称</w:t>
            </w:r>
          </w:p>
        </w:tc>
        <w:tc>
          <w:tcPr>
            <w:tcW w:w="1116" w:type="dxa"/>
            <w:shd w:val="clear" w:color="auto" w:fill="E6E6E6"/>
            <w:noWrap w:val="0"/>
            <w:vAlign w:val="center"/>
          </w:tcPr>
          <w:p w14:paraId="5B700CF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涉及平台</w:t>
            </w:r>
          </w:p>
        </w:tc>
      </w:tr>
      <w:tr w14:paraId="5A469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restart"/>
            <w:noWrap w:val="0"/>
            <w:vAlign w:val="center"/>
          </w:tcPr>
          <w:p w14:paraId="12B4FDB9">
            <w:pPr>
              <w:pageBreakBefore w:val="0"/>
              <w:widowControl w:val="0"/>
              <w:tabs>
                <w:tab w:val="left" w:pos="1320"/>
              </w:tabs>
              <w:kinsoku/>
              <w:wordWrap/>
              <w:overflowPunct/>
              <w:topLinePunct w:val="0"/>
              <w:autoSpaceDE/>
              <w:autoSpaceDN/>
              <w:bidi w:val="0"/>
              <w:adjustRightInd w:val="0"/>
              <w:snapToGrid w:val="0"/>
              <w:spacing w:beforeAutospacing="0" w:afterAutospacing="0" w:line="360" w:lineRule="auto"/>
              <w:ind w:right="0" w:firstLine="0" w:firstLineChars="0"/>
              <w:jc w:val="center"/>
              <w:textAlignment w:val="auto"/>
              <w:rPr>
                <w:rFonts w:hint="eastAsia" w:ascii="宋体" w:hAnsi="宋体" w:eastAsia="宋体" w:cs="宋体"/>
                <w:sz w:val="18"/>
                <w:szCs w:val="18"/>
                <w:lang w:bidi="ar"/>
              </w:rPr>
            </w:pPr>
            <w:r>
              <w:rPr>
                <w:rFonts w:hint="eastAsia" w:ascii="宋体" w:hAnsi="宋体" w:eastAsia="宋体" w:cs="宋体"/>
                <w:sz w:val="18"/>
                <w:szCs w:val="18"/>
                <w:lang w:bidi="ar"/>
              </w:rPr>
              <w:br w:type="textWrapping"/>
            </w:r>
            <w:r>
              <w:rPr>
                <w:rFonts w:hint="eastAsia" w:ascii="宋体" w:hAnsi="宋体" w:eastAsia="宋体" w:cs="宋体"/>
                <w:sz w:val="18"/>
                <w:szCs w:val="18"/>
                <w:lang w:val="en-US" w:eastAsia="zh-CN" w:bidi="ar"/>
              </w:rPr>
              <w:t>实证分析</w:t>
            </w:r>
          </w:p>
          <w:p w14:paraId="7364B45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016" w:type="dxa"/>
            <w:vMerge w:val="restart"/>
            <w:noWrap w:val="0"/>
            <w:vAlign w:val="center"/>
          </w:tcPr>
          <w:p w14:paraId="57758DC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实验准备</w:t>
            </w:r>
          </w:p>
        </w:tc>
        <w:tc>
          <w:tcPr>
            <w:tcW w:w="5617" w:type="dxa"/>
            <w:noWrap w:val="0"/>
            <w:vAlign w:val="center"/>
          </w:tcPr>
          <w:p w14:paraId="05EF6AA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准备论文数据</w:t>
            </w:r>
          </w:p>
        </w:tc>
        <w:tc>
          <w:tcPr>
            <w:tcW w:w="1116" w:type="dxa"/>
            <w:vMerge w:val="restart"/>
            <w:noWrap w:val="0"/>
            <w:vAlign w:val="center"/>
          </w:tcPr>
          <w:p w14:paraId="7E99929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hAnsi="宋体" w:cs="宋体"/>
                <w:sz w:val="18"/>
                <w:szCs w:val="18"/>
                <w:lang w:val="en-US" w:eastAsia="zh-CN"/>
              </w:rPr>
              <w:t>AI金融计量教学平台</w:t>
            </w:r>
          </w:p>
        </w:tc>
      </w:tr>
      <w:tr w14:paraId="19AD93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49AA6CB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016" w:type="dxa"/>
            <w:vMerge w:val="continue"/>
            <w:noWrap w:val="0"/>
            <w:vAlign w:val="center"/>
          </w:tcPr>
          <w:p w14:paraId="29AC624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617" w:type="dxa"/>
            <w:noWrap w:val="0"/>
            <w:vAlign w:val="center"/>
          </w:tcPr>
          <w:p w14:paraId="20DADFF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打开并登录数字经济AI平台</w:t>
            </w:r>
          </w:p>
        </w:tc>
        <w:tc>
          <w:tcPr>
            <w:tcW w:w="1116" w:type="dxa"/>
            <w:vMerge w:val="continue"/>
            <w:noWrap w:val="0"/>
            <w:vAlign w:val="center"/>
          </w:tcPr>
          <w:p w14:paraId="6B46264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pacing w:val="10"/>
                <w:sz w:val="18"/>
                <w:szCs w:val="18"/>
              </w:rPr>
            </w:pPr>
          </w:p>
        </w:tc>
      </w:tr>
      <w:tr w14:paraId="5331D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19E2B2C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016" w:type="dxa"/>
            <w:vMerge w:val="continue"/>
            <w:noWrap w:val="0"/>
            <w:vAlign w:val="center"/>
          </w:tcPr>
          <w:p w14:paraId="5F198EE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617" w:type="dxa"/>
            <w:noWrap w:val="0"/>
            <w:vAlign w:val="center"/>
          </w:tcPr>
          <w:p w14:paraId="00FEC9F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打开模型参考案例</w:t>
            </w:r>
          </w:p>
        </w:tc>
        <w:tc>
          <w:tcPr>
            <w:tcW w:w="1116" w:type="dxa"/>
            <w:vMerge w:val="continue"/>
            <w:noWrap w:val="0"/>
            <w:vAlign w:val="center"/>
          </w:tcPr>
          <w:p w14:paraId="048F4D4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pacing w:val="10"/>
                <w:sz w:val="18"/>
                <w:szCs w:val="18"/>
              </w:rPr>
            </w:pPr>
          </w:p>
        </w:tc>
      </w:tr>
      <w:tr w14:paraId="78616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563FE76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016" w:type="dxa"/>
            <w:vMerge w:val="restart"/>
            <w:noWrap w:val="0"/>
            <w:vAlign w:val="center"/>
          </w:tcPr>
          <w:p w14:paraId="089799B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实验实施步骤</w:t>
            </w:r>
          </w:p>
        </w:tc>
        <w:tc>
          <w:tcPr>
            <w:tcW w:w="5617" w:type="dxa"/>
            <w:noWrap w:val="0"/>
            <w:vAlign w:val="center"/>
          </w:tcPr>
          <w:p w14:paraId="67C46ED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读取数据，通过拖拽功能组件读取 txt 、csv 、 Excel等格式的文件</w:t>
            </w:r>
          </w:p>
        </w:tc>
        <w:tc>
          <w:tcPr>
            <w:tcW w:w="1116" w:type="dxa"/>
            <w:vMerge w:val="continue"/>
            <w:noWrap w:val="0"/>
            <w:vAlign w:val="center"/>
          </w:tcPr>
          <w:p w14:paraId="4952E34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70EC44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6654260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016" w:type="dxa"/>
            <w:vMerge w:val="continue"/>
            <w:noWrap w:val="0"/>
            <w:vAlign w:val="center"/>
          </w:tcPr>
          <w:p w14:paraId="0BE92AF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617" w:type="dxa"/>
            <w:noWrap w:val="0"/>
            <w:vAlign w:val="center"/>
          </w:tcPr>
          <w:p w14:paraId="293B644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可通过拖拽功能了解数据并查看前N行、后台调用stata代码和Python代码进行描述性统计</w:t>
            </w:r>
          </w:p>
        </w:tc>
        <w:tc>
          <w:tcPr>
            <w:tcW w:w="1116" w:type="dxa"/>
            <w:vMerge w:val="continue"/>
            <w:noWrap w:val="0"/>
            <w:vAlign w:val="center"/>
          </w:tcPr>
          <w:p w14:paraId="24B0508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6C2D6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755C899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016" w:type="dxa"/>
            <w:vMerge w:val="continue"/>
            <w:noWrap w:val="0"/>
            <w:vAlign w:val="center"/>
          </w:tcPr>
          <w:p w14:paraId="48F26D6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617" w:type="dxa"/>
            <w:noWrap w:val="0"/>
            <w:vAlign w:val="center"/>
          </w:tcPr>
          <w:p w14:paraId="4118E68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通过拖拽功能组件转换、设置、过滤、生成等数据预处理，如长表转成宽表、日期格式转换、缩尾或截尾、数字字符转数值、设置列数据类型、索引控制、排序、更改行名/列名、设置面板数据、设置时间序列数据、采样、行过滤、删除重复值/缺失值、缺失值填充、数据拆分、分离特征</w:t>
            </w:r>
            <w:r>
              <w:rPr>
                <w:rFonts w:hint="eastAsia" w:hAnsi="宋体" w:cs="宋体"/>
                <w:spacing w:val="10"/>
                <w:sz w:val="18"/>
                <w:szCs w:val="18"/>
                <w:lang w:val="en-US" w:eastAsia="zh-CN"/>
              </w:rPr>
              <w:t>等</w:t>
            </w:r>
            <w:r>
              <w:rPr>
                <w:rFonts w:hint="eastAsia" w:ascii="宋体" w:hAnsi="宋体" w:eastAsia="宋体" w:cs="宋体"/>
                <w:spacing w:val="10"/>
                <w:sz w:val="18"/>
                <w:szCs w:val="18"/>
                <w:lang w:val="en-US" w:eastAsia="zh-CN"/>
              </w:rPr>
              <w:t>数据预处理常见操作</w:t>
            </w:r>
          </w:p>
        </w:tc>
        <w:tc>
          <w:tcPr>
            <w:tcW w:w="1116" w:type="dxa"/>
            <w:vMerge w:val="continue"/>
            <w:noWrap w:val="0"/>
            <w:vAlign w:val="center"/>
          </w:tcPr>
          <w:p w14:paraId="3469166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1B214E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34E8C8C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016" w:type="dxa"/>
            <w:vMerge w:val="continue"/>
            <w:noWrap w:val="0"/>
            <w:vAlign w:val="center"/>
          </w:tcPr>
          <w:p w14:paraId="2343615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617" w:type="dxa"/>
            <w:noWrap w:val="0"/>
            <w:vAlign w:val="center"/>
          </w:tcPr>
          <w:p w14:paraId="627404C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数据检验，选择卡方检验，T检验-双样本、T检验-单样本、偏态分布检验、hausman检验、倾向得分匹配、处理效应估计、平衡性检验、多重共线性检验、似无相关估计等操作</w:t>
            </w:r>
          </w:p>
        </w:tc>
        <w:tc>
          <w:tcPr>
            <w:tcW w:w="1116" w:type="dxa"/>
            <w:vMerge w:val="continue"/>
            <w:noWrap w:val="0"/>
            <w:vAlign w:val="center"/>
          </w:tcPr>
          <w:p w14:paraId="3CB96AE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17397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58336C9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016" w:type="dxa"/>
            <w:vMerge w:val="continue"/>
            <w:noWrap w:val="0"/>
            <w:vAlign w:val="center"/>
          </w:tcPr>
          <w:p w14:paraId="6D3EE69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617" w:type="dxa"/>
            <w:noWrap w:val="0"/>
            <w:vAlign w:val="center"/>
          </w:tcPr>
          <w:p w14:paraId="7118AC7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实现箱线图、热力图、直方图、散点图、时序图、饼图、柱状图、折线图等数据可视化呈现</w:t>
            </w:r>
          </w:p>
        </w:tc>
        <w:tc>
          <w:tcPr>
            <w:tcW w:w="1116" w:type="dxa"/>
            <w:vMerge w:val="continue"/>
            <w:noWrap w:val="0"/>
            <w:vAlign w:val="center"/>
          </w:tcPr>
          <w:p w14:paraId="14A5A9E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4650AC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02F9113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016" w:type="dxa"/>
            <w:vMerge w:val="continue"/>
            <w:noWrap w:val="0"/>
            <w:vAlign w:val="center"/>
          </w:tcPr>
          <w:p w14:paraId="54736D8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617" w:type="dxa"/>
            <w:noWrap w:val="0"/>
            <w:vAlign w:val="center"/>
          </w:tcPr>
          <w:p w14:paraId="031D21C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通过拖拉拽实现行列转置、离散化、特征变换、正则化、中心化、标准化、数据透视表、归一化、主成分分析/PCA、序列编码、</w:t>
            </w:r>
            <w:r>
              <w:rPr>
                <w:rFonts w:hint="eastAsia" w:hAnsi="宋体" w:cs="宋体"/>
                <w:spacing w:val="10"/>
                <w:sz w:val="18"/>
                <w:szCs w:val="18"/>
                <w:lang w:val="en-US" w:eastAsia="zh-CN"/>
              </w:rPr>
              <w:t>独立</w:t>
            </w:r>
            <w:r>
              <w:rPr>
                <w:rFonts w:hint="eastAsia" w:ascii="宋体" w:hAnsi="宋体" w:eastAsia="宋体" w:cs="宋体"/>
                <w:spacing w:val="10"/>
                <w:sz w:val="18"/>
                <w:szCs w:val="18"/>
                <w:lang w:val="en-US" w:eastAsia="zh-CN"/>
              </w:rPr>
              <w:t>编码等特征工程</w:t>
            </w:r>
          </w:p>
        </w:tc>
        <w:tc>
          <w:tcPr>
            <w:tcW w:w="1116" w:type="dxa"/>
            <w:vMerge w:val="continue"/>
            <w:noWrap w:val="0"/>
            <w:vAlign w:val="center"/>
          </w:tcPr>
          <w:p w14:paraId="1E92194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1505CF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5F64FE1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016" w:type="dxa"/>
            <w:vMerge w:val="continue"/>
            <w:noWrap w:val="0"/>
            <w:vAlign w:val="center"/>
          </w:tcPr>
          <w:p w14:paraId="7201C7A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617" w:type="dxa"/>
            <w:noWrap w:val="0"/>
            <w:vAlign w:val="center"/>
          </w:tcPr>
          <w:p w14:paraId="3A45202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实现词频统计、词性筛选、词云、文本预处理、去停用词、TF-IDF、文本数据分类、词共现矩阵、词共现网络图、情感倾向词统计及分析、LDA主题困惑度曲线图及LDA主题分析等文本分析</w:t>
            </w:r>
          </w:p>
        </w:tc>
        <w:tc>
          <w:tcPr>
            <w:tcW w:w="1116" w:type="dxa"/>
            <w:vMerge w:val="continue"/>
            <w:noWrap w:val="0"/>
            <w:vAlign w:val="center"/>
          </w:tcPr>
          <w:p w14:paraId="568D07E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5DB8CE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78EC794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016" w:type="dxa"/>
            <w:vMerge w:val="continue"/>
            <w:noWrap w:val="0"/>
            <w:vAlign w:val="center"/>
          </w:tcPr>
          <w:p w14:paraId="4391E02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617" w:type="dxa"/>
            <w:noWrap w:val="0"/>
            <w:vAlign w:val="center"/>
          </w:tcPr>
          <w:p w14:paraId="4553874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后台调用stata代码，通过拖拉拽功能组件实现变量预设、相关性分析、线性回归、面板数据回归、高维固定效应回归、双重差分</w:t>
            </w:r>
            <w:r>
              <w:rPr>
                <w:rFonts w:hint="eastAsia" w:hAnsi="宋体" w:cs="宋体"/>
                <w:spacing w:val="10"/>
                <w:sz w:val="18"/>
                <w:szCs w:val="18"/>
                <w:lang w:val="en-US" w:eastAsia="zh-CN"/>
              </w:rPr>
              <w:t>（</w:t>
            </w:r>
            <w:r>
              <w:rPr>
                <w:rFonts w:hint="eastAsia" w:ascii="宋体" w:hAnsi="宋体" w:eastAsia="宋体" w:cs="宋体"/>
                <w:spacing w:val="10"/>
                <w:sz w:val="18"/>
                <w:szCs w:val="18"/>
                <w:lang w:val="en-US" w:eastAsia="zh-CN"/>
              </w:rPr>
              <w:t>DID</w:t>
            </w:r>
            <w:r>
              <w:rPr>
                <w:rFonts w:hint="eastAsia" w:hAnsi="宋体" w:cs="宋体"/>
                <w:spacing w:val="10"/>
                <w:sz w:val="18"/>
                <w:szCs w:val="18"/>
                <w:lang w:val="en-US" w:eastAsia="zh-CN"/>
              </w:rPr>
              <w:t>）</w:t>
            </w:r>
            <w:r>
              <w:rPr>
                <w:rFonts w:hint="eastAsia" w:ascii="宋体" w:hAnsi="宋体" w:eastAsia="宋体" w:cs="宋体"/>
                <w:spacing w:val="10"/>
                <w:sz w:val="18"/>
                <w:szCs w:val="18"/>
                <w:lang w:val="en-US" w:eastAsia="zh-CN"/>
              </w:rPr>
              <w:t>、二阶段回归</w:t>
            </w:r>
            <w:r>
              <w:rPr>
                <w:rFonts w:hint="eastAsia" w:hAnsi="宋体" w:cs="宋体"/>
                <w:spacing w:val="10"/>
                <w:sz w:val="18"/>
                <w:szCs w:val="18"/>
                <w:lang w:val="en-US" w:eastAsia="zh-CN"/>
              </w:rPr>
              <w:t>（</w:t>
            </w:r>
            <w:r>
              <w:rPr>
                <w:rFonts w:hint="eastAsia" w:ascii="宋体" w:hAnsi="宋体" w:eastAsia="宋体" w:cs="宋体"/>
                <w:spacing w:val="10"/>
                <w:sz w:val="18"/>
                <w:szCs w:val="18"/>
                <w:lang w:val="en-US" w:eastAsia="zh-CN"/>
              </w:rPr>
              <w:t>2SLS</w:t>
            </w:r>
            <w:r>
              <w:rPr>
                <w:rFonts w:hint="eastAsia" w:hAnsi="宋体" w:cs="宋体"/>
                <w:spacing w:val="10"/>
                <w:sz w:val="18"/>
                <w:szCs w:val="18"/>
                <w:lang w:val="en-US" w:eastAsia="zh-CN"/>
              </w:rPr>
              <w:t>）</w:t>
            </w:r>
            <w:r>
              <w:rPr>
                <w:rFonts w:hint="eastAsia" w:ascii="宋体" w:hAnsi="宋体" w:eastAsia="宋体" w:cs="宋体"/>
                <w:spacing w:val="10"/>
                <w:sz w:val="18"/>
                <w:szCs w:val="18"/>
                <w:lang w:val="en-US" w:eastAsia="zh-CN"/>
              </w:rPr>
              <w:t>、面板数据二阶段回归</w:t>
            </w:r>
            <w:r>
              <w:rPr>
                <w:rFonts w:hint="eastAsia" w:hAnsi="宋体" w:cs="宋体"/>
                <w:spacing w:val="10"/>
                <w:sz w:val="18"/>
                <w:szCs w:val="18"/>
                <w:lang w:val="en-US" w:eastAsia="zh-CN"/>
              </w:rPr>
              <w:t>（</w:t>
            </w:r>
            <w:r>
              <w:rPr>
                <w:rFonts w:hint="eastAsia" w:ascii="宋体" w:hAnsi="宋体" w:eastAsia="宋体" w:cs="宋体"/>
                <w:spacing w:val="10"/>
                <w:sz w:val="18"/>
                <w:szCs w:val="18"/>
                <w:lang w:val="en-US" w:eastAsia="zh-CN"/>
              </w:rPr>
              <w:t>2SLS）、动态面板数据的GMM估计、高维固定效应IV估计、面板数据二元选择模型、分位数回归、逻辑回归、正态分布模型、截面门槛效应回归、面板门槛效应回归等传统计量建模分析</w:t>
            </w:r>
          </w:p>
        </w:tc>
        <w:tc>
          <w:tcPr>
            <w:tcW w:w="1116" w:type="dxa"/>
            <w:vMerge w:val="continue"/>
            <w:noWrap w:val="0"/>
            <w:vAlign w:val="center"/>
          </w:tcPr>
          <w:p w14:paraId="2359B48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13EFA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3136C7B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016" w:type="dxa"/>
            <w:vMerge w:val="continue"/>
            <w:noWrap w:val="0"/>
            <w:vAlign w:val="center"/>
          </w:tcPr>
          <w:p w14:paraId="30C1FCA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617" w:type="dxa"/>
            <w:noWrap w:val="0"/>
            <w:vAlign w:val="center"/>
          </w:tcPr>
          <w:p w14:paraId="2940B37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创建空间权重矩阵、空间面板数据回归等空间计量建模分析（stata）</w:t>
            </w:r>
          </w:p>
        </w:tc>
        <w:tc>
          <w:tcPr>
            <w:tcW w:w="1116" w:type="dxa"/>
            <w:vMerge w:val="continue"/>
            <w:noWrap w:val="0"/>
            <w:vAlign w:val="center"/>
          </w:tcPr>
          <w:p w14:paraId="6C281EC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3F469F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5FF5A46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016" w:type="dxa"/>
            <w:vMerge w:val="restart"/>
            <w:noWrap w:val="0"/>
            <w:vAlign w:val="center"/>
          </w:tcPr>
          <w:p w14:paraId="60F9DA3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r>
              <w:rPr>
                <w:rFonts w:hint="eastAsia" w:ascii="宋体" w:hAnsi="宋体" w:eastAsia="宋体" w:cs="宋体"/>
                <w:sz w:val="18"/>
                <w:szCs w:val="18"/>
              </w:rPr>
              <w:t>实验总结</w:t>
            </w:r>
          </w:p>
        </w:tc>
        <w:tc>
          <w:tcPr>
            <w:tcW w:w="5617" w:type="dxa"/>
            <w:noWrap w:val="0"/>
            <w:vAlign w:val="center"/>
          </w:tcPr>
          <w:p w14:paraId="7A03DB3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总结双重差分模型的计量建模方法和计量过程</w:t>
            </w:r>
          </w:p>
        </w:tc>
        <w:tc>
          <w:tcPr>
            <w:tcW w:w="1116" w:type="dxa"/>
            <w:vMerge w:val="continue"/>
            <w:noWrap w:val="0"/>
            <w:vAlign w:val="center"/>
          </w:tcPr>
          <w:p w14:paraId="2FAAE04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7152EB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0F534D8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016" w:type="dxa"/>
            <w:vMerge w:val="continue"/>
            <w:noWrap w:val="0"/>
            <w:vAlign w:val="center"/>
          </w:tcPr>
          <w:p w14:paraId="444F1C6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617" w:type="dxa"/>
            <w:noWrap w:val="0"/>
            <w:vAlign w:val="center"/>
          </w:tcPr>
          <w:p w14:paraId="78F3A03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textAlignment w:val="auto"/>
              <w:rPr>
                <w:rFonts w:hint="eastAsia" w:ascii="宋体" w:hAnsi="宋体" w:eastAsia="宋体" w:cs="宋体"/>
                <w:spacing w:val="10"/>
                <w:kern w:val="2"/>
                <w:sz w:val="18"/>
                <w:szCs w:val="18"/>
                <w:lang w:val="en-US" w:eastAsia="zh-CN" w:bidi="ar"/>
              </w:rPr>
            </w:pPr>
            <w:r>
              <w:rPr>
                <w:rFonts w:hint="eastAsia" w:ascii="宋体" w:hAnsi="宋体" w:eastAsia="宋体" w:cs="宋体"/>
                <w:spacing w:val="10"/>
                <w:sz w:val="18"/>
                <w:szCs w:val="18"/>
                <w:lang w:val="en-US" w:eastAsia="zh-CN"/>
              </w:rPr>
              <w:t>总结</w:t>
            </w:r>
            <w:r>
              <w:rPr>
                <w:rFonts w:hint="eastAsia" w:hAnsi="宋体" w:cs="宋体"/>
                <w:spacing w:val="10"/>
                <w:sz w:val="18"/>
                <w:szCs w:val="18"/>
                <w:lang w:val="en-US" w:eastAsia="zh-CN"/>
              </w:rPr>
              <w:t>渐进</w:t>
            </w:r>
            <w:r>
              <w:rPr>
                <w:rFonts w:hint="eastAsia" w:ascii="宋体" w:hAnsi="宋体" w:eastAsia="宋体" w:cs="宋体"/>
                <w:spacing w:val="10"/>
                <w:sz w:val="18"/>
                <w:szCs w:val="18"/>
                <w:lang w:val="en-US" w:eastAsia="zh-CN"/>
              </w:rPr>
              <w:t>双重差分模型</w:t>
            </w:r>
            <w:r>
              <w:rPr>
                <w:rFonts w:hint="eastAsia" w:hAnsi="宋体" w:cs="宋体"/>
                <w:spacing w:val="10"/>
                <w:sz w:val="18"/>
                <w:szCs w:val="18"/>
                <w:lang w:val="en-US" w:eastAsia="zh-CN"/>
              </w:rPr>
              <w:t>的</w:t>
            </w:r>
            <w:r>
              <w:rPr>
                <w:rFonts w:hint="eastAsia" w:ascii="宋体" w:hAnsi="宋体" w:eastAsia="宋体" w:cs="宋体"/>
                <w:spacing w:val="10"/>
                <w:sz w:val="18"/>
                <w:szCs w:val="18"/>
                <w:lang w:val="en-US" w:eastAsia="zh-CN"/>
              </w:rPr>
              <w:t>计量建模方法和计量过程</w:t>
            </w:r>
          </w:p>
        </w:tc>
        <w:tc>
          <w:tcPr>
            <w:tcW w:w="1116" w:type="dxa"/>
            <w:vMerge w:val="continue"/>
            <w:noWrap w:val="0"/>
            <w:vAlign w:val="center"/>
          </w:tcPr>
          <w:p w14:paraId="3B4AA2E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01E61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00" w:type="dxa"/>
            <w:vMerge w:val="continue"/>
            <w:noWrap w:val="0"/>
            <w:vAlign w:val="center"/>
          </w:tcPr>
          <w:p w14:paraId="21D453A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016" w:type="dxa"/>
            <w:vMerge w:val="continue"/>
            <w:noWrap w:val="0"/>
            <w:vAlign w:val="center"/>
          </w:tcPr>
          <w:p w14:paraId="29F2640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617" w:type="dxa"/>
            <w:noWrap w:val="0"/>
            <w:vAlign w:val="center"/>
          </w:tcPr>
          <w:p w14:paraId="452A1FB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textAlignment w:val="auto"/>
              <w:rPr>
                <w:rFonts w:hint="eastAsia" w:ascii="宋体" w:hAnsi="宋体" w:eastAsia="宋体" w:cs="宋体"/>
                <w:spacing w:val="10"/>
                <w:kern w:val="2"/>
                <w:sz w:val="18"/>
                <w:szCs w:val="18"/>
                <w:lang w:val="en-US" w:eastAsia="zh-CN" w:bidi="ar"/>
              </w:rPr>
            </w:pPr>
            <w:r>
              <w:rPr>
                <w:rFonts w:hint="eastAsia" w:ascii="宋体" w:hAnsi="宋体" w:eastAsia="宋体" w:cs="宋体"/>
                <w:spacing w:val="10"/>
                <w:sz w:val="18"/>
                <w:szCs w:val="18"/>
                <w:lang w:val="en-US" w:eastAsia="zh-CN"/>
              </w:rPr>
              <w:t>总结β收敛模型的计量建模方法和计量过程</w:t>
            </w:r>
          </w:p>
        </w:tc>
        <w:tc>
          <w:tcPr>
            <w:tcW w:w="1116" w:type="dxa"/>
            <w:vMerge w:val="continue"/>
            <w:noWrap w:val="0"/>
            <w:vAlign w:val="center"/>
          </w:tcPr>
          <w:p w14:paraId="1C970CC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36960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00" w:type="dxa"/>
            <w:vMerge w:val="continue"/>
            <w:noWrap w:val="0"/>
            <w:vAlign w:val="center"/>
          </w:tcPr>
          <w:p w14:paraId="204DFA4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016" w:type="dxa"/>
            <w:vMerge w:val="continue"/>
            <w:noWrap w:val="0"/>
            <w:vAlign w:val="center"/>
          </w:tcPr>
          <w:p w14:paraId="177BAAA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617" w:type="dxa"/>
            <w:noWrap w:val="0"/>
            <w:vAlign w:val="center"/>
          </w:tcPr>
          <w:p w14:paraId="016066B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完成仿写论文的实证分析</w:t>
            </w:r>
          </w:p>
        </w:tc>
        <w:tc>
          <w:tcPr>
            <w:tcW w:w="1116" w:type="dxa"/>
            <w:vMerge w:val="continue"/>
            <w:noWrap w:val="0"/>
            <w:vAlign w:val="center"/>
          </w:tcPr>
          <w:p w14:paraId="4B982B4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bl>
    <w:p w14:paraId="34466819">
      <w:pPr>
        <w:pageBreakBefore w:val="0"/>
        <w:widowControl w:val="0"/>
        <w:numPr>
          <w:ilvl w:val="0"/>
          <w:numId w:val="12"/>
        </w:numPr>
        <w:kinsoku/>
        <w:wordWrap/>
        <w:overflowPunct/>
        <w:topLinePunct w:val="0"/>
        <w:autoSpaceDE/>
        <w:autoSpaceDN/>
        <w:bidi w:val="0"/>
        <w:adjustRightInd w:val="0"/>
        <w:snapToGrid w:val="0"/>
        <w:spacing w:beforeAutospacing="0" w:afterAutospacing="0" w:line="360" w:lineRule="auto"/>
        <w:ind w:right="0" w:firstLine="422"/>
        <w:textAlignment w:val="auto"/>
        <w:rPr>
          <w:rFonts w:hint="eastAsia" w:ascii="宋体" w:hAnsi="宋体" w:eastAsia="宋体" w:cs="宋体"/>
          <w:b/>
          <w:sz w:val="21"/>
          <w:szCs w:val="21"/>
        </w:rPr>
      </w:pPr>
      <w:r>
        <w:rPr>
          <w:rFonts w:hint="eastAsia" w:ascii="宋体" w:hAnsi="宋体" w:eastAsia="宋体" w:cs="宋体"/>
          <w:b/>
          <w:sz w:val="21"/>
          <w:szCs w:val="21"/>
        </w:rPr>
        <w:t>实验流程（工作程序）</w:t>
      </w:r>
    </w:p>
    <w:p w14:paraId="2A132A78">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rPr>
      </w:pPr>
      <w:r>
        <w:rPr>
          <w:rFonts w:hint="eastAsia" w:ascii="宋体" w:hAnsi="宋体" w:eastAsia="宋体" w:cs="宋体"/>
          <w:sz w:val="21"/>
          <w:szCs w:val="21"/>
        </w:rPr>
        <w:t>了解实验背景、实验目标</w:t>
      </w:r>
    </w:p>
    <w:p w14:paraId="2A9EB359">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准备论文数据</w:t>
      </w:r>
    </w:p>
    <w:p w14:paraId="5955C259">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打开并登录数字经济AI平台，打开模型参考案例对比</w:t>
      </w:r>
    </w:p>
    <w:p w14:paraId="63251B3E">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读取数据，通过拖拽功能组件读取 txt 、csv 、 Excel等格式的文件</w:t>
      </w:r>
    </w:p>
    <w:p w14:paraId="6C792033">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了解数据，可通过拖拽功能了解数据并查看前N行、后台调用stata代码和Python代码进行描述性统计</w:t>
      </w:r>
    </w:p>
    <w:p w14:paraId="69107186">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数据预处理，通过拖拽功能组件转换、设置、过滤、生成等数据预处理，如长表转成宽表、日期格式转换、缩尾或截尾、数字字符转数值、设置列数据类型、索引控制、排序、更改行名/列名、设置面板数据、设置时间序列数据、采样、行过滤、删除重复值/缺失值、缺失值填充、数据拆分、分离特征等常见操作</w:t>
      </w:r>
    </w:p>
    <w:p w14:paraId="16C9A5B0">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数据检验，选择卡方检验，T检验-双样本、T检验-单样本、偏态分布检验、hausman检验、倾向得分匹配、处理效应估计、平衡性检验、多重共线性检验、似无相关估计等操作</w:t>
      </w:r>
    </w:p>
    <w:p w14:paraId="1B9DEC5E">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数据可视化，实现箱线图、热力图、直方图、散点图、时序图、饼图、柱状图、折线图等呈现</w:t>
      </w:r>
    </w:p>
    <w:p w14:paraId="20D1854D">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特征工程，通过拖拉拽实现行列转置、离散化、特征变换、正则化、中心化、标准化、数据透视表、归一化、主成分分析/PCA、序列编码、独立编码等特征工程</w:t>
      </w:r>
    </w:p>
    <w:p w14:paraId="536DB3DB">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文本分析，实现词频统计、词性筛选、词云、文本预处理、去停用词、TF-IDF、文本数据分类、词共现矩阵、词共现网络图、情感倾向词统计及分析、LDA主题困惑度曲线图及LDA主题分析等文本分析</w:t>
      </w:r>
    </w:p>
    <w:p w14:paraId="57AC15CA">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传统计量建模分析（stata），后台调用stata代码，通过拖拉拽功能组件实现变量预设、相关性分析、线性回归、面板数据回归、高维固定效应回归、双重差分（DID）、二阶段回归（2SLS）、面板数据二阶段回归（2SLS）、动态面板数据的GMM估计、高维固定效应IV估计、面板数据二元选择模型、分位数回归、逻辑回归、正态分布模型、截面门槛效应回归、面板门槛效应回归等分析</w:t>
      </w:r>
    </w:p>
    <w:p w14:paraId="0431BAB6">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空间计量建模分析（stata），创建空间权重矩阵、空间面板数据回归等</w:t>
      </w:r>
    </w:p>
    <w:p w14:paraId="15AB510F">
      <w:pPr>
        <w:pageBreakBefore w:val="0"/>
        <w:widowControl w:val="0"/>
        <w:numPr>
          <w:ilvl w:val="0"/>
          <w:numId w:val="12"/>
        </w:numPr>
        <w:kinsoku/>
        <w:wordWrap/>
        <w:overflowPunct/>
        <w:topLinePunct w:val="0"/>
        <w:autoSpaceDE/>
        <w:autoSpaceDN/>
        <w:bidi w:val="0"/>
        <w:adjustRightInd w:val="0"/>
        <w:snapToGrid w:val="0"/>
        <w:spacing w:beforeAutospacing="0" w:afterAutospacing="0" w:line="360" w:lineRule="auto"/>
        <w:ind w:right="0" w:firstLine="422"/>
        <w:textAlignment w:val="auto"/>
        <w:rPr>
          <w:rFonts w:hint="eastAsia" w:ascii="宋体" w:hAnsi="宋体" w:eastAsia="宋体" w:cs="宋体"/>
          <w:b/>
          <w:sz w:val="21"/>
          <w:szCs w:val="21"/>
        </w:rPr>
      </w:pPr>
      <w:r>
        <w:rPr>
          <w:rFonts w:hint="eastAsia" w:ascii="宋体" w:hAnsi="宋体" w:eastAsia="宋体" w:cs="宋体"/>
          <w:b/>
          <w:sz w:val="21"/>
          <w:szCs w:val="21"/>
        </w:rPr>
        <w:t>实验成果</w:t>
      </w:r>
    </w:p>
    <w:p w14:paraId="693265A8">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总结双重差分模型的计量建模方法和计量过程</w:t>
      </w:r>
    </w:p>
    <w:p w14:paraId="09A17CB1">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总结渐进双重差分模型的计量建模方法和计量过程</w:t>
      </w:r>
    </w:p>
    <w:p w14:paraId="4E85FE3F">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总结β收敛模型的计量建模方法和计量过程</w:t>
      </w:r>
    </w:p>
    <w:p w14:paraId="1D452AD2">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完成仿写论文的实证分析</w:t>
      </w:r>
    </w:p>
    <w:p w14:paraId="0905ED3E">
      <w:pPr>
        <w:pageBreakBefore w:val="0"/>
        <w:widowControl w:val="0"/>
        <w:numPr>
          <w:ilvl w:val="0"/>
          <w:numId w:val="0"/>
        </w:numPr>
        <w:tabs>
          <w:tab w:val="left" w:pos="0"/>
          <w:tab w:val="left" w:pos="846"/>
        </w:tabs>
        <w:kinsoku/>
        <w:wordWrap/>
        <w:overflowPunct/>
        <w:topLinePunct w:val="0"/>
        <w:autoSpaceDE/>
        <w:autoSpaceDN/>
        <w:bidi w:val="0"/>
        <w:adjustRightInd w:val="0"/>
        <w:snapToGrid w:val="0"/>
        <w:spacing w:beforeAutospacing="0" w:afterAutospacing="0" w:line="360" w:lineRule="auto"/>
        <w:ind w:left="0" w:leftChars="0" w:right="0"/>
        <w:textAlignment w:val="auto"/>
        <w:rPr>
          <w:rFonts w:hint="eastAsia" w:ascii="宋体" w:hAnsi="宋体" w:eastAsia="宋体" w:cs="宋体"/>
          <w:sz w:val="21"/>
          <w:szCs w:val="21"/>
          <w:lang w:val="en-US" w:eastAsia="zh-CN"/>
        </w:rPr>
      </w:pPr>
      <w:r>
        <w:rPr>
          <w:rFonts w:hint="eastAsia" w:ascii="宋体" w:hAnsi="宋体" w:eastAsia="宋体" w:cs="宋体"/>
        </w:rPr>
        <w:drawing>
          <wp:inline distT="0" distB="0" distL="114300" distR="114300">
            <wp:extent cx="5264150" cy="2498090"/>
            <wp:effectExtent l="0" t="0" r="12700" b="16510"/>
            <wp:docPr id="62"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57"/>
                    <pic:cNvPicPr>
                      <a:picLocks noChangeAspect="1"/>
                    </pic:cNvPicPr>
                  </pic:nvPicPr>
                  <pic:blipFill>
                    <a:blip r:embed="rId29"/>
                    <a:stretch>
                      <a:fillRect/>
                    </a:stretch>
                  </pic:blipFill>
                  <pic:spPr>
                    <a:xfrm>
                      <a:off x="0" y="0"/>
                      <a:ext cx="5264150" cy="2498090"/>
                    </a:xfrm>
                    <a:prstGeom prst="rect">
                      <a:avLst/>
                    </a:prstGeom>
                    <a:noFill/>
                    <a:ln>
                      <a:noFill/>
                    </a:ln>
                  </pic:spPr>
                </pic:pic>
              </a:graphicData>
            </a:graphic>
          </wp:inline>
        </w:drawing>
      </w:r>
      <w:r>
        <w:rPr>
          <w:rFonts w:hint="eastAsia" w:ascii="宋体" w:hAnsi="宋体" w:eastAsia="宋体" w:cs="宋体"/>
        </w:rPr>
        <w:drawing>
          <wp:inline distT="0" distB="0" distL="114300" distR="114300">
            <wp:extent cx="3518535" cy="3937000"/>
            <wp:effectExtent l="0" t="0" r="5715" b="6350"/>
            <wp:docPr id="67"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58"/>
                    <pic:cNvPicPr>
                      <a:picLocks noChangeAspect="1"/>
                    </pic:cNvPicPr>
                  </pic:nvPicPr>
                  <pic:blipFill>
                    <a:blip r:embed="rId30"/>
                    <a:srcRect l="33209" t="15977"/>
                    <a:stretch>
                      <a:fillRect/>
                    </a:stretch>
                  </pic:blipFill>
                  <pic:spPr>
                    <a:xfrm>
                      <a:off x="0" y="0"/>
                      <a:ext cx="3518535" cy="3937000"/>
                    </a:xfrm>
                    <a:prstGeom prst="rect">
                      <a:avLst/>
                    </a:prstGeom>
                    <a:noFill/>
                    <a:ln>
                      <a:noFill/>
                    </a:ln>
                  </pic:spPr>
                </pic:pic>
              </a:graphicData>
            </a:graphic>
          </wp:inline>
        </w:drawing>
      </w:r>
      <w:r>
        <w:rPr>
          <w:rFonts w:hint="eastAsia" w:ascii="宋体" w:hAnsi="宋体" w:eastAsia="宋体" w:cs="宋体"/>
        </w:rPr>
        <w:drawing>
          <wp:inline distT="0" distB="0" distL="114300" distR="114300">
            <wp:extent cx="3557905" cy="4282440"/>
            <wp:effectExtent l="0" t="0" r="4445" b="3810"/>
            <wp:docPr id="50"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9"/>
                    <pic:cNvPicPr>
                      <a:picLocks noChangeAspect="1"/>
                    </pic:cNvPicPr>
                  </pic:nvPicPr>
                  <pic:blipFill>
                    <a:blip r:embed="rId31"/>
                    <a:srcRect l="32469" t="6412"/>
                    <a:stretch>
                      <a:fillRect/>
                    </a:stretch>
                  </pic:blipFill>
                  <pic:spPr>
                    <a:xfrm>
                      <a:off x="0" y="0"/>
                      <a:ext cx="3557905" cy="4282440"/>
                    </a:xfrm>
                    <a:prstGeom prst="rect">
                      <a:avLst/>
                    </a:prstGeom>
                    <a:noFill/>
                    <a:ln>
                      <a:noFill/>
                    </a:ln>
                  </pic:spPr>
                </pic:pic>
              </a:graphicData>
            </a:graphic>
          </wp:inline>
        </w:drawing>
      </w:r>
      <w:r>
        <w:rPr>
          <w:rFonts w:hint="eastAsia" w:ascii="宋体" w:hAnsi="宋体" w:eastAsia="宋体" w:cs="宋体"/>
        </w:rPr>
        <w:drawing>
          <wp:inline distT="0" distB="0" distL="114300" distR="114300">
            <wp:extent cx="5274310" cy="2303145"/>
            <wp:effectExtent l="0" t="0" r="2540" b="1905"/>
            <wp:docPr id="55"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60"/>
                    <pic:cNvPicPr>
                      <a:picLocks noChangeAspect="1"/>
                    </pic:cNvPicPr>
                  </pic:nvPicPr>
                  <pic:blipFill>
                    <a:blip r:embed="rId32"/>
                    <a:stretch>
                      <a:fillRect/>
                    </a:stretch>
                  </pic:blipFill>
                  <pic:spPr>
                    <a:xfrm>
                      <a:off x="0" y="0"/>
                      <a:ext cx="5274310" cy="2303145"/>
                    </a:xfrm>
                    <a:prstGeom prst="rect">
                      <a:avLst/>
                    </a:prstGeom>
                    <a:noFill/>
                    <a:ln>
                      <a:noFill/>
                    </a:ln>
                  </pic:spPr>
                </pic:pic>
              </a:graphicData>
            </a:graphic>
          </wp:inline>
        </w:drawing>
      </w:r>
      <w:r>
        <w:rPr>
          <w:rFonts w:hint="eastAsia" w:ascii="宋体" w:hAnsi="宋体" w:eastAsia="宋体" w:cs="宋体"/>
        </w:rPr>
        <w:drawing>
          <wp:inline distT="0" distB="0" distL="114300" distR="114300">
            <wp:extent cx="5267325" cy="1558925"/>
            <wp:effectExtent l="0" t="0" r="9525" b="3175"/>
            <wp:docPr id="59"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61"/>
                    <pic:cNvPicPr>
                      <a:picLocks noChangeAspect="1"/>
                    </pic:cNvPicPr>
                  </pic:nvPicPr>
                  <pic:blipFill>
                    <a:blip r:embed="rId33"/>
                    <a:stretch>
                      <a:fillRect/>
                    </a:stretch>
                  </pic:blipFill>
                  <pic:spPr>
                    <a:xfrm>
                      <a:off x="0" y="0"/>
                      <a:ext cx="5267325" cy="1558925"/>
                    </a:xfrm>
                    <a:prstGeom prst="rect">
                      <a:avLst/>
                    </a:prstGeom>
                    <a:noFill/>
                    <a:ln>
                      <a:noFill/>
                    </a:ln>
                  </pic:spPr>
                </pic:pic>
              </a:graphicData>
            </a:graphic>
          </wp:inline>
        </w:drawing>
      </w:r>
    </w:p>
    <w:p w14:paraId="498DEEC5">
      <w:pPr>
        <w:pStyle w:val="6"/>
        <w:keepNext/>
        <w:keepLines/>
        <w:pageBreakBefore w:val="0"/>
        <w:widowControl w:val="0"/>
        <w:numPr>
          <w:ilvl w:val="1"/>
          <w:numId w:val="5"/>
        </w:numPr>
        <w:tabs>
          <w:tab w:val="left" w:pos="1320"/>
        </w:tabs>
        <w:kinsoku/>
        <w:wordWrap/>
        <w:overflowPunct/>
        <w:topLinePunct w:val="0"/>
        <w:autoSpaceDE/>
        <w:autoSpaceDN/>
        <w:bidi w:val="0"/>
        <w:adjustRightInd w:val="0"/>
        <w:snapToGrid w:val="0"/>
        <w:spacing w:beforeAutospacing="0" w:afterAutospacing="0" w:line="360" w:lineRule="auto"/>
        <w:ind w:left="0" w:right="0" w:firstLine="422" w:firstLineChars="200"/>
        <w:textAlignment w:val="auto"/>
        <w:outlineLvl w:val="2"/>
        <w:rPr>
          <w:rFonts w:hint="eastAsia" w:ascii="宋体" w:hAnsi="宋体" w:eastAsia="宋体" w:cs="宋体"/>
          <w:b/>
          <w:sz w:val="21"/>
          <w:szCs w:val="21"/>
          <w:lang w:val="en-US" w:eastAsia="zh-CN"/>
        </w:rPr>
      </w:pPr>
      <w:bookmarkStart w:id="34" w:name="_Toc19119"/>
      <w:bookmarkStart w:id="35" w:name="_Toc4827"/>
      <w:bookmarkStart w:id="36" w:name="_Toc5951"/>
      <w:bookmarkStart w:id="37" w:name="_Toc18263"/>
      <w:r>
        <w:rPr>
          <w:rFonts w:hint="eastAsia" w:ascii="宋体" w:hAnsi="宋体" w:eastAsia="宋体" w:cs="宋体"/>
          <w:b/>
          <w:sz w:val="21"/>
          <w:szCs w:val="21"/>
          <w:lang w:val="en-US" w:eastAsia="zh-CN"/>
        </w:rPr>
        <w:t>结果解读</w:t>
      </w:r>
      <w:bookmarkEnd w:id="34"/>
      <w:bookmarkEnd w:id="35"/>
      <w:bookmarkEnd w:id="36"/>
      <w:bookmarkEnd w:id="37"/>
    </w:p>
    <w:p w14:paraId="7BDE6BEC">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实验背景</w:t>
      </w:r>
    </w:p>
    <w:p w14:paraId="4115ED6D">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在实证过程中需要解读计量建模结果，但由于缺失代码基础及计量基础，难以正确解读，容易将整个研究假设推翻，造成工作无效。如果可以借助工具辅助解读，一定程度上可以避免。</w:t>
      </w:r>
    </w:p>
    <w:p w14:paraId="4634211B">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实验内容</w:t>
      </w:r>
    </w:p>
    <w:p w14:paraId="6091626F">
      <w:pPr>
        <w:pageBreakBefore w:val="0"/>
        <w:widowControl w:val="0"/>
        <w:kinsoku/>
        <w:wordWrap/>
        <w:overflowPunct/>
        <w:topLinePunct w:val="0"/>
        <w:autoSpaceDE/>
        <w:autoSpaceDN/>
        <w:bidi w:val="0"/>
        <w:adjustRightInd w:val="0"/>
        <w:snapToGrid w:val="0"/>
        <w:spacing w:beforeAutospacing="0" w:afterAutospacing="0" w:line="360" w:lineRule="auto"/>
        <w:ind w:right="0" w:firstLine="360"/>
        <w:jc w:val="center"/>
        <w:textAlignment w:val="auto"/>
        <w:rPr>
          <w:rFonts w:hint="eastAsia" w:ascii="宋体" w:hAnsi="宋体" w:eastAsia="宋体" w:cs="宋体"/>
          <w:sz w:val="18"/>
          <w:szCs w:val="18"/>
          <w:lang w:val="en-US" w:eastAsia="zh-CN" w:bidi="ar"/>
        </w:rPr>
      </w:pPr>
      <w:r>
        <w:rPr>
          <w:rFonts w:hint="eastAsia" w:ascii="宋体" w:hAnsi="宋体" w:eastAsia="宋体" w:cs="宋体"/>
          <w:sz w:val="18"/>
          <w:szCs w:val="18"/>
          <w:lang w:bidi="ar"/>
        </w:rPr>
        <w:t>表</w:t>
      </w:r>
      <w:r>
        <w:rPr>
          <w:rFonts w:hint="eastAsia" w:ascii="宋体" w:hAnsi="宋体" w:eastAsia="宋体" w:cs="宋体"/>
          <w:sz w:val="18"/>
          <w:szCs w:val="18"/>
          <w:lang w:val="en-US" w:eastAsia="zh-CN" w:bidi="ar"/>
        </w:rPr>
        <w:t>6 结果解读</w:t>
      </w:r>
    </w:p>
    <w:tbl>
      <w:tblPr>
        <w:tblStyle w:val="18"/>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3F29E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095" w:type="dxa"/>
            <w:shd w:val="clear" w:color="auto" w:fill="E6E6E6"/>
            <w:noWrap w:val="0"/>
            <w:vAlign w:val="center"/>
          </w:tcPr>
          <w:p w14:paraId="3B7C85B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一级模块</w:t>
            </w:r>
          </w:p>
        </w:tc>
        <w:tc>
          <w:tcPr>
            <w:tcW w:w="1240" w:type="dxa"/>
            <w:shd w:val="clear" w:color="auto" w:fill="E6E6E6"/>
            <w:noWrap w:val="0"/>
            <w:vAlign w:val="center"/>
          </w:tcPr>
          <w:p w14:paraId="50D4CD5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二级模块</w:t>
            </w:r>
          </w:p>
        </w:tc>
        <w:tc>
          <w:tcPr>
            <w:tcW w:w="5058" w:type="dxa"/>
            <w:shd w:val="clear" w:color="auto" w:fill="E6E6E6"/>
            <w:noWrap w:val="0"/>
            <w:vAlign w:val="center"/>
          </w:tcPr>
          <w:p w14:paraId="4AC8821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实验项目名称</w:t>
            </w:r>
          </w:p>
        </w:tc>
        <w:tc>
          <w:tcPr>
            <w:tcW w:w="1356" w:type="dxa"/>
            <w:shd w:val="clear" w:color="auto" w:fill="E6E6E6"/>
            <w:noWrap w:val="0"/>
            <w:vAlign w:val="center"/>
          </w:tcPr>
          <w:p w14:paraId="2D28ADD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涉及平台</w:t>
            </w:r>
          </w:p>
        </w:tc>
      </w:tr>
      <w:tr w14:paraId="317ECF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restart"/>
            <w:noWrap w:val="0"/>
            <w:vAlign w:val="center"/>
          </w:tcPr>
          <w:p w14:paraId="183FEECC">
            <w:pPr>
              <w:pageBreakBefore w:val="0"/>
              <w:widowControl w:val="0"/>
              <w:tabs>
                <w:tab w:val="left" w:pos="1320"/>
              </w:tabs>
              <w:kinsoku/>
              <w:wordWrap/>
              <w:overflowPunct/>
              <w:topLinePunct w:val="0"/>
              <w:autoSpaceDE/>
              <w:autoSpaceDN/>
              <w:bidi w:val="0"/>
              <w:adjustRightInd w:val="0"/>
              <w:snapToGrid w:val="0"/>
              <w:spacing w:beforeAutospacing="0" w:afterAutospacing="0" w:line="360" w:lineRule="auto"/>
              <w:ind w:right="0" w:firstLine="0" w:firstLineChars="0"/>
              <w:jc w:val="center"/>
              <w:textAlignment w:val="auto"/>
              <w:rPr>
                <w:rFonts w:hint="eastAsia" w:ascii="宋体" w:hAnsi="宋体" w:eastAsia="宋体" w:cs="宋体"/>
                <w:sz w:val="18"/>
                <w:szCs w:val="18"/>
                <w:lang w:val="en-US" w:eastAsia="zh-CN" w:bidi="ar"/>
              </w:rPr>
            </w:pPr>
            <w:r>
              <w:rPr>
                <w:rFonts w:hint="eastAsia" w:ascii="宋体" w:hAnsi="宋体" w:eastAsia="宋体" w:cs="宋体"/>
                <w:sz w:val="18"/>
                <w:szCs w:val="18"/>
                <w:lang w:bidi="ar"/>
              </w:rPr>
              <w:br w:type="textWrapping"/>
            </w:r>
            <w:r>
              <w:rPr>
                <w:rFonts w:hint="eastAsia" w:ascii="宋体" w:hAnsi="宋体" w:eastAsia="宋体" w:cs="宋体"/>
                <w:sz w:val="18"/>
                <w:szCs w:val="18"/>
                <w:lang w:val="en-US" w:eastAsia="zh-CN" w:bidi="ar"/>
              </w:rPr>
              <w:t>结果解读</w:t>
            </w:r>
          </w:p>
          <w:p w14:paraId="6E3FC21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12C87EA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实验准备</w:t>
            </w:r>
          </w:p>
        </w:tc>
        <w:tc>
          <w:tcPr>
            <w:tcW w:w="5058" w:type="dxa"/>
            <w:noWrap w:val="0"/>
            <w:vAlign w:val="center"/>
          </w:tcPr>
          <w:p w14:paraId="54D84CB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打开并登录国内AI平台和</w:t>
            </w:r>
            <w:r>
              <w:rPr>
                <w:rFonts w:hint="eastAsia" w:hAnsi="宋体" w:cs="宋体"/>
                <w:spacing w:val="10"/>
                <w:sz w:val="18"/>
                <w:szCs w:val="18"/>
                <w:lang w:val="en-US" w:eastAsia="zh-CN"/>
              </w:rPr>
              <w:t>AI金融计量教学平台</w:t>
            </w:r>
          </w:p>
        </w:tc>
        <w:tc>
          <w:tcPr>
            <w:tcW w:w="1356" w:type="dxa"/>
            <w:vMerge w:val="restart"/>
            <w:noWrap w:val="0"/>
            <w:vAlign w:val="center"/>
          </w:tcPr>
          <w:p w14:paraId="1F676A5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lang w:val="en-US" w:eastAsia="zh-CN"/>
              </w:rPr>
            </w:pPr>
            <w:r>
              <w:rPr>
                <w:rFonts w:hint="eastAsia" w:hAnsi="宋体" w:cs="宋体"/>
                <w:sz w:val="18"/>
                <w:szCs w:val="18"/>
                <w:lang w:val="en-US" w:eastAsia="zh-CN"/>
              </w:rPr>
              <w:t>AI金融计量教学平台</w:t>
            </w:r>
          </w:p>
          <w:p w14:paraId="27EDC75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val="en-US" w:eastAsia="zh-CN"/>
              </w:rPr>
              <w:t>国内AI大模型</w:t>
            </w:r>
          </w:p>
        </w:tc>
      </w:tr>
      <w:tr w14:paraId="00234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6449136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10B8892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center"/>
          </w:tcPr>
          <w:p w14:paraId="47FAD47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准备需要解读的代码及数据结果</w:t>
            </w:r>
          </w:p>
        </w:tc>
        <w:tc>
          <w:tcPr>
            <w:tcW w:w="1356" w:type="dxa"/>
            <w:vMerge w:val="continue"/>
            <w:noWrap w:val="0"/>
            <w:vAlign w:val="center"/>
          </w:tcPr>
          <w:p w14:paraId="19C1AC9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pacing w:val="10"/>
                <w:sz w:val="18"/>
                <w:szCs w:val="18"/>
              </w:rPr>
            </w:pPr>
          </w:p>
        </w:tc>
      </w:tr>
      <w:tr w14:paraId="0FA728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51D55D6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55B2297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实验实施步骤</w:t>
            </w:r>
          </w:p>
        </w:tc>
        <w:tc>
          <w:tcPr>
            <w:tcW w:w="5058" w:type="dxa"/>
            <w:noWrap w:val="0"/>
            <w:vAlign w:val="center"/>
          </w:tcPr>
          <w:p w14:paraId="44DA045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输入需要解读的代码及数据结果</w:t>
            </w:r>
          </w:p>
        </w:tc>
        <w:tc>
          <w:tcPr>
            <w:tcW w:w="1356" w:type="dxa"/>
            <w:vMerge w:val="continue"/>
            <w:noWrap w:val="0"/>
            <w:vAlign w:val="center"/>
          </w:tcPr>
          <w:p w14:paraId="50DC967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38831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095" w:type="dxa"/>
            <w:vMerge w:val="continue"/>
            <w:noWrap w:val="0"/>
            <w:vAlign w:val="center"/>
          </w:tcPr>
          <w:p w14:paraId="3F9CA43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3151AF8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top"/>
          </w:tcPr>
          <w:p w14:paraId="183D12B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打开stata等相应平台进行论证</w:t>
            </w:r>
          </w:p>
        </w:tc>
        <w:tc>
          <w:tcPr>
            <w:tcW w:w="1356" w:type="dxa"/>
            <w:vMerge w:val="continue"/>
            <w:noWrap w:val="0"/>
            <w:vAlign w:val="center"/>
          </w:tcPr>
          <w:p w14:paraId="6309F36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5502D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95" w:type="dxa"/>
            <w:vMerge w:val="continue"/>
            <w:noWrap w:val="0"/>
            <w:vAlign w:val="center"/>
          </w:tcPr>
          <w:p w14:paraId="748C39E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noWrap w:val="0"/>
            <w:vAlign w:val="center"/>
          </w:tcPr>
          <w:p w14:paraId="2CECAEB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r>
              <w:rPr>
                <w:rFonts w:hint="eastAsia" w:ascii="宋体" w:hAnsi="宋体" w:eastAsia="宋体" w:cs="宋体"/>
                <w:sz w:val="18"/>
                <w:szCs w:val="18"/>
              </w:rPr>
              <w:t>实验总结</w:t>
            </w:r>
          </w:p>
        </w:tc>
        <w:tc>
          <w:tcPr>
            <w:tcW w:w="5058" w:type="dxa"/>
            <w:noWrap w:val="0"/>
            <w:vAlign w:val="center"/>
          </w:tcPr>
          <w:p w14:paraId="0231AD4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总结计量分析数据结果</w:t>
            </w:r>
          </w:p>
        </w:tc>
        <w:tc>
          <w:tcPr>
            <w:tcW w:w="1356" w:type="dxa"/>
            <w:vMerge w:val="continue"/>
            <w:noWrap w:val="0"/>
            <w:vAlign w:val="center"/>
          </w:tcPr>
          <w:p w14:paraId="2CF9C03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bl>
    <w:p w14:paraId="0B3416EC">
      <w:pPr>
        <w:pageBreakBefore w:val="0"/>
        <w:widowControl w:val="0"/>
        <w:numPr>
          <w:ilvl w:val="0"/>
          <w:numId w:val="13"/>
        </w:numPr>
        <w:kinsoku/>
        <w:wordWrap/>
        <w:overflowPunct/>
        <w:topLinePunct w:val="0"/>
        <w:autoSpaceDE/>
        <w:autoSpaceDN/>
        <w:bidi w:val="0"/>
        <w:adjustRightInd w:val="0"/>
        <w:snapToGrid w:val="0"/>
        <w:spacing w:beforeAutospacing="0" w:afterAutospacing="0" w:line="360" w:lineRule="auto"/>
        <w:ind w:right="0" w:firstLine="422"/>
        <w:textAlignment w:val="auto"/>
        <w:rPr>
          <w:rFonts w:hint="eastAsia" w:ascii="宋体" w:hAnsi="宋体" w:eastAsia="宋体" w:cs="宋体"/>
          <w:b/>
          <w:sz w:val="21"/>
          <w:szCs w:val="21"/>
        </w:rPr>
      </w:pPr>
      <w:r>
        <w:rPr>
          <w:rFonts w:hint="eastAsia" w:ascii="宋体" w:hAnsi="宋体" w:eastAsia="宋体" w:cs="宋体"/>
          <w:b/>
          <w:sz w:val="21"/>
          <w:szCs w:val="21"/>
        </w:rPr>
        <w:t>实验流程（工作程序）</w:t>
      </w:r>
    </w:p>
    <w:p w14:paraId="564D8CE9">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rPr>
      </w:pPr>
      <w:r>
        <w:rPr>
          <w:rFonts w:hint="eastAsia" w:ascii="宋体" w:hAnsi="宋体" w:eastAsia="宋体" w:cs="宋体"/>
          <w:sz w:val="21"/>
          <w:szCs w:val="21"/>
        </w:rPr>
        <w:t>了解实验背景、实验目标</w:t>
      </w:r>
    </w:p>
    <w:p w14:paraId="4F2BDC13">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打开并登录国内AI平台和</w:t>
      </w:r>
      <w:r>
        <w:rPr>
          <w:rFonts w:hint="eastAsia" w:ascii="宋体" w:hAnsi="宋体" w:cs="宋体"/>
          <w:sz w:val="21"/>
          <w:szCs w:val="21"/>
          <w:lang w:val="en-US" w:eastAsia="zh-CN"/>
        </w:rPr>
        <w:t>AI金融计量教学平台</w:t>
      </w:r>
    </w:p>
    <w:p w14:paraId="102B5ACD">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准备需要解读的代码及数据结果</w:t>
      </w:r>
    </w:p>
    <w:p w14:paraId="3706675D">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输入需要解读的代码及数据，打开stata等相应平台进行论证</w:t>
      </w:r>
    </w:p>
    <w:p w14:paraId="67AB8217">
      <w:pPr>
        <w:pageBreakBefore w:val="0"/>
        <w:widowControl w:val="0"/>
        <w:numPr>
          <w:ilvl w:val="0"/>
          <w:numId w:val="13"/>
        </w:numPr>
        <w:kinsoku/>
        <w:wordWrap/>
        <w:overflowPunct/>
        <w:topLinePunct w:val="0"/>
        <w:autoSpaceDE/>
        <w:autoSpaceDN/>
        <w:bidi w:val="0"/>
        <w:adjustRightInd w:val="0"/>
        <w:snapToGrid w:val="0"/>
        <w:spacing w:beforeAutospacing="0" w:afterAutospacing="0" w:line="360" w:lineRule="auto"/>
        <w:ind w:right="0" w:firstLine="422"/>
        <w:textAlignment w:val="auto"/>
        <w:rPr>
          <w:rFonts w:hint="eastAsia" w:ascii="宋体" w:hAnsi="宋体" w:eastAsia="宋体" w:cs="宋体"/>
          <w:b/>
          <w:sz w:val="21"/>
          <w:szCs w:val="21"/>
        </w:rPr>
      </w:pPr>
      <w:r>
        <w:rPr>
          <w:rFonts w:hint="eastAsia" w:ascii="宋体" w:hAnsi="宋体" w:eastAsia="宋体" w:cs="宋体"/>
          <w:b/>
          <w:sz w:val="21"/>
          <w:szCs w:val="21"/>
        </w:rPr>
        <w:t>实验成果</w:t>
      </w:r>
    </w:p>
    <w:p w14:paraId="5074D4A8">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总结计量分析数据结果</w:t>
      </w:r>
    </w:p>
    <w:p w14:paraId="79185417">
      <w:pPr>
        <w:pageBreakBefore w:val="0"/>
        <w:widowControl w:val="0"/>
        <w:kinsoku/>
        <w:wordWrap/>
        <w:overflowPunct/>
        <w:topLinePunct w:val="0"/>
        <w:autoSpaceDE/>
        <w:autoSpaceDN/>
        <w:bidi w:val="0"/>
        <w:adjustRightInd w:val="0"/>
        <w:snapToGrid w:val="0"/>
        <w:spacing w:beforeAutospacing="0" w:afterAutospacing="0" w:line="360" w:lineRule="auto"/>
        <w:ind w:left="0" w:leftChars="0" w:right="0" w:firstLine="0" w:firstLineChars="0"/>
        <w:textAlignment w:val="auto"/>
        <w:rPr>
          <w:rFonts w:hint="eastAsia" w:ascii="宋体" w:hAnsi="宋体" w:eastAsia="宋体" w:cs="宋体"/>
        </w:rPr>
      </w:pPr>
      <w:r>
        <w:rPr>
          <w:rFonts w:hint="eastAsia" w:ascii="宋体" w:hAnsi="宋体" w:eastAsia="宋体" w:cs="宋体"/>
        </w:rPr>
        <w:drawing>
          <wp:inline distT="0" distB="0" distL="114300" distR="114300">
            <wp:extent cx="5581015" cy="3210560"/>
            <wp:effectExtent l="0" t="0" r="635" b="8890"/>
            <wp:docPr id="56"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62"/>
                    <pic:cNvPicPr>
                      <a:picLocks noChangeAspect="1"/>
                    </pic:cNvPicPr>
                  </pic:nvPicPr>
                  <pic:blipFill>
                    <a:blip r:embed="rId34"/>
                    <a:srcRect t="9982"/>
                    <a:stretch>
                      <a:fillRect/>
                    </a:stretch>
                  </pic:blipFill>
                  <pic:spPr>
                    <a:xfrm>
                      <a:off x="0" y="0"/>
                      <a:ext cx="5581015" cy="3210560"/>
                    </a:xfrm>
                    <a:prstGeom prst="rect">
                      <a:avLst/>
                    </a:prstGeom>
                    <a:noFill/>
                    <a:ln>
                      <a:noFill/>
                    </a:ln>
                  </pic:spPr>
                </pic:pic>
              </a:graphicData>
            </a:graphic>
          </wp:inline>
        </w:drawing>
      </w:r>
      <w:r>
        <w:rPr>
          <w:rFonts w:hint="eastAsia" w:ascii="宋体" w:hAnsi="宋体" w:eastAsia="宋体" w:cs="宋体"/>
        </w:rPr>
        <w:drawing>
          <wp:inline distT="0" distB="0" distL="114300" distR="114300">
            <wp:extent cx="5272405" cy="3726815"/>
            <wp:effectExtent l="0" t="0" r="4445" b="6985"/>
            <wp:docPr id="60"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3"/>
                    <pic:cNvPicPr>
                      <a:picLocks noChangeAspect="1"/>
                    </pic:cNvPicPr>
                  </pic:nvPicPr>
                  <pic:blipFill>
                    <a:blip r:embed="rId35"/>
                    <a:stretch>
                      <a:fillRect/>
                    </a:stretch>
                  </pic:blipFill>
                  <pic:spPr>
                    <a:xfrm>
                      <a:off x="0" y="0"/>
                      <a:ext cx="5272405" cy="3726815"/>
                    </a:xfrm>
                    <a:prstGeom prst="rect">
                      <a:avLst/>
                    </a:prstGeom>
                    <a:noFill/>
                    <a:ln>
                      <a:noFill/>
                    </a:ln>
                  </pic:spPr>
                </pic:pic>
              </a:graphicData>
            </a:graphic>
          </wp:inline>
        </w:drawing>
      </w:r>
      <w:r>
        <w:rPr>
          <w:rFonts w:hint="eastAsia" w:ascii="宋体" w:hAnsi="宋体" w:eastAsia="宋体" w:cs="宋体"/>
        </w:rPr>
        <w:drawing>
          <wp:inline distT="0" distB="0" distL="114300" distR="114300">
            <wp:extent cx="5266690" cy="2609215"/>
            <wp:effectExtent l="0" t="0" r="10160" b="635"/>
            <wp:docPr id="65"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4"/>
                    <pic:cNvPicPr>
                      <a:picLocks noChangeAspect="1"/>
                    </pic:cNvPicPr>
                  </pic:nvPicPr>
                  <pic:blipFill>
                    <a:blip r:embed="rId36"/>
                    <a:stretch>
                      <a:fillRect/>
                    </a:stretch>
                  </pic:blipFill>
                  <pic:spPr>
                    <a:xfrm>
                      <a:off x="0" y="0"/>
                      <a:ext cx="5266690" cy="2609215"/>
                    </a:xfrm>
                    <a:prstGeom prst="rect">
                      <a:avLst/>
                    </a:prstGeom>
                    <a:noFill/>
                    <a:ln>
                      <a:noFill/>
                    </a:ln>
                  </pic:spPr>
                </pic:pic>
              </a:graphicData>
            </a:graphic>
          </wp:inline>
        </w:drawing>
      </w:r>
    </w:p>
    <w:p w14:paraId="56A99E94">
      <w:pPr>
        <w:pStyle w:val="6"/>
        <w:keepNext/>
        <w:keepLines/>
        <w:pageBreakBefore w:val="0"/>
        <w:widowControl w:val="0"/>
        <w:numPr>
          <w:ilvl w:val="1"/>
          <w:numId w:val="5"/>
        </w:numPr>
        <w:tabs>
          <w:tab w:val="left" w:pos="1320"/>
        </w:tabs>
        <w:kinsoku/>
        <w:wordWrap/>
        <w:overflowPunct/>
        <w:topLinePunct w:val="0"/>
        <w:autoSpaceDE/>
        <w:autoSpaceDN/>
        <w:bidi w:val="0"/>
        <w:adjustRightInd w:val="0"/>
        <w:snapToGrid w:val="0"/>
        <w:spacing w:beforeAutospacing="0" w:afterAutospacing="0" w:line="360" w:lineRule="auto"/>
        <w:ind w:left="0" w:right="0" w:firstLine="422" w:firstLineChars="200"/>
        <w:textAlignment w:val="auto"/>
        <w:outlineLvl w:val="2"/>
        <w:rPr>
          <w:rFonts w:hint="eastAsia" w:ascii="宋体" w:hAnsi="宋体" w:eastAsia="宋体" w:cs="宋体"/>
          <w:b/>
          <w:sz w:val="21"/>
          <w:szCs w:val="21"/>
          <w:lang w:val="en-US" w:eastAsia="zh-CN"/>
        </w:rPr>
      </w:pPr>
      <w:bookmarkStart w:id="38" w:name="_Toc169"/>
      <w:bookmarkStart w:id="39" w:name="_Toc24596"/>
      <w:bookmarkStart w:id="40" w:name="_Toc19669"/>
      <w:bookmarkStart w:id="41" w:name="_Toc4142"/>
      <w:r>
        <w:rPr>
          <w:rFonts w:hint="eastAsia" w:ascii="宋体" w:hAnsi="宋体" w:eastAsia="宋体" w:cs="宋体"/>
          <w:b/>
          <w:sz w:val="21"/>
          <w:szCs w:val="21"/>
          <w:lang w:val="en-US" w:eastAsia="zh-CN"/>
        </w:rPr>
        <w:t>研究背景、理论分析、假设论证</w:t>
      </w:r>
      <w:bookmarkEnd w:id="38"/>
      <w:bookmarkEnd w:id="39"/>
      <w:bookmarkEnd w:id="40"/>
      <w:bookmarkEnd w:id="41"/>
    </w:p>
    <w:p w14:paraId="37BB664E">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实验背景</w:t>
      </w:r>
    </w:p>
    <w:p w14:paraId="5A09B169">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作为科研新手，尤其是科研小白，由于没有足够的理论积累，无法清晰而完整地总结当前论文的研究背景、理论分析、假设论证，如有理论基础深厚，涉猎全面的工具进行辅助，也将给科研锦上添花。</w:t>
      </w:r>
    </w:p>
    <w:p w14:paraId="1670D5E0">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实验内容</w:t>
      </w:r>
    </w:p>
    <w:p w14:paraId="39040D8C">
      <w:pPr>
        <w:pageBreakBefore w:val="0"/>
        <w:widowControl w:val="0"/>
        <w:kinsoku/>
        <w:wordWrap/>
        <w:overflowPunct/>
        <w:topLinePunct w:val="0"/>
        <w:autoSpaceDE/>
        <w:autoSpaceDN/>
        <w:bidi w:val="0"/>
        <w:adjustRightInd w:val="0"/>
        <w:snapToGrid w:val="0"/>
        <w:spacing w:beforeAutospacing="0" w:afterAutospacing="0" w:line="360" w:lineRule="auto"/>
        <w:ind w:right="0" w:firstLine="360"/>
        <w:jc w:val="center"/>
        <w:textAlignment w:val="auto"/>
        <w:rPr>
          <w:rFonts w:hint="eastAsia" w:ascii="宋体" w:hAnsi="宋体" w:eastAsia="宋体" w:cs="宋体"/>
          <w:sz w:val="18"/>
          <w:szCs w:val="18"/>
          <w:lang w:val="en-US" w:eastAsia="zh-CN" w:bidi="ar"/>
        </w:rPr>
      </w:pPr>
      <w:r>
        <w:rPr>
          <w:rFonts w:hint="eastAsia" w:ascii="宋体" w:hAnsi="宋体" w:eastAsia="宋体" w:cs="宋体"/>
          <w:sz w:val="18"/>
          <w:szCs w:val="18"/>
          <w:lang w:bidi="ar"/>
        </w:rPr>
        <w:t>表</w:t>
      </w:r>
      <w:r>
        <w:rPr>
          <w:rFonts w:hint="eastAsia" w:ascii="宋体" w:hAnsi="宋体" w:eastAsia="宋体" w:cs="宋体"/>
          <w:sz w:val="18"/>
          <w:szCs w:val="18"/>
          <w:lang w:val="en-US" w:eastAsia="zh-CN" w:bidi="ar"/>
        </w:rPr>
        <w:t>7 研究背景、理论分析、假设论证</w:t>
      </w:r>
    </w:p>
    <w:tbl>
      <w:tblPr>
        <w:tblStyle w:val="18"/>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4BDB9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095" w:type="dxa"/>
            <w:shd w:val="clear" w:color="auto" w:fill="E6E6E6"/>
            <w:noWrap w:val="0"/>
            <w:vAlign w:val="center"/>
          </w:tcPr>
          <w:p w14:paraId="623C996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一级模块</w:t>
            </w:r>
          </w:p>
        </w:tc>
        <w:tc>
          <w:tcPr>
            <w:tcW w:w="1240" w:type="dxa"/>
            <w:shd w:val="clear" w:color="auto" w:fill="E6E6E6"/>
            <w:noWrap w:val="0"/>
            <w:vAlign w:val="center"/>
          </w:tcPr>
          <w:p w14:paraId="17FF2E1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二级模块</w:t>
            </w:r>
          </w:p>
        </w:tc>
        <w:tc>
          <w:tcPr>
            <w:tcW w:w="5058" w:type="dxa"/>
            <w:shd w:val="clear" w:color="auto" w:fill="E6E6E6"/>
            <w:noWrap w:val="0"/>
            <w:vAlign w:val="center"/>
          </w:tcPr>
          <w:p w14:paraId="16BC6FC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实验项目名称</w:t>
            </w:r>
          </w:p>
        </w:tc>
        <w:tc>
          <w:tcPr>
            <w:tcW w:w="1356" w:type="dxa"/>
            <w:shd w:val="clear" w:color="auto" w:fill="E6E6E6"/>
            <w:noWrap w:val="0"/>
            <w:vAlign w:val="center"/>
          </w:tcPr>
          <w:p w14:paraId="67F9E0B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涉及平台</w:t>
            </w:r>
          </w:p>
        </w:tc>
      </w:tr>
      <w:tr w14:paraId="07A029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restart"/>
            <w:noWrap w:val="0"/>
            <w:vAlign w:val="center"/>
          </w:tcPr>
          <w:p w14:paraId="3C251055">
            <w:pPr>
              <w:pageBreakBefore w:val="0"/>
              <w:widowControl w:val="0"/>
              <w:tabs>
                <w:tab w:val="left" w:pos="1320"/>
              </w:tabs>
              <w:kinsoku/>
              <w:wordWrap/>
              <w:overflowPunct/>
              <w:topLinePunct w:val="0"/>
              <w:autoSpaceDE/>
              <w:autoSpaceDN/>
              <w:bidi w:val="0"/>
              <w:adjustRightInd w:val="0"/>
              <w:snapToGrid w:val="0"/>
              <w:spacing w:beforeAutospacing="0" w:afterAutospacing="0" w:line="360" w:lineRule="auto"/>
              <w:ind w:right="0" w:firstLine="0" w:firstLineChars="0"/>
              <w:jc w:val="center"/>
              <w:textAlignment w:val="auto"/>
              <w:rPr>
                <w:rFonts w:hint="eastAsia" w:ascii="宋体" w:hAnsi="宋体" w:eastAsia="宋体" w:cs="宋体"/>
                <w:sz w:val="18"/>
                <w:szCs w:val="18"/>
                <w:lang w:val="en-US" w:eastAsia="zh-CN" w:bidi="ar"/>
              </w:rPr>
            </w:pPr>
            <w:r>
              <w:rPr>
                <w:rFonts w:hint="eastAsia" w:ascii="宋体" w:hAnsi="宋体" w:eastAsia="宋体" w:cs="宋体"/>
                <w:sz w:val="18"/>
                <w:szCs w:val="18"/>
                <w:lang w:bidi="ar"/>
              </w:rPr>
              <w:br w:type="textWrapping"/>
            </w:r>
            <w:r>
              <w:rPr>
                <w:rFonts w:hint="eastAsia" w:ascii="宋体" w:hAnsi="宋体" w:eastAsia="宋体" w:cs="宋体"/>
                <w:sz w:val="18"/>
                <w:szCs w:val="18"/>
                <w:lang w:bidi="ar"/>
              </w:rPr>
              <w:t>研究背景、理论分析、假设论证</w:t>
            </w:r>
          </w:p>
          <w:p w14:paraId="355CFAF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252534C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实验准备</w:t>
            </w:r>
          </w:p>
        </w:tc>
        <w:tc>
          <w:tcPr>
            <w:tcW w:w="5058" w:type="dxa"/>
            <w:noWrap w:val="0"/>
            <w:vAlign w:val="center"/>
          </w:tcPr>
          <w:p w14:paraId="1A7B97F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打开并登录国内AI平台</w:t>
            </w:r>
          </w:p>
        </w:tc>
        <w:tc>
          <w:tcPr>
            <w:tcW w:w="1356" w:type="dxa"/>
            <w:vMerge w:val="restart"/>
            <w:noWrap w:val="0"/>
            <w:vAlign w:val="center"/>
          </w:tcPr>
          <w:p w14:paraId="7DDEFE3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lang w:val="en-US" w:eastAsia="zh-CN"/>
              </w:rPr>
            </w:pPr>
            <w:r>
              <w:rPr>
                <w:rFonts w:hint="eastAsia" w:hAnsi="宋体" w:cs="宋体"/>
                <w:sz w:val="18"/>
                <w:szCs w:val="18"/>
                <w:lang w:val="en-US" w:eastAsia="zh-CN"/>
              </w:rPr>
              <w:t>AI金融计量教学平台</w:t>
            </w:r>
          </w:p>
          <w:p w14:paraId="10F8FAA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国内AI大模型</w:t>
            </w:r>
          </w:p>
        </w:tc>
      </w:tr>
      <w:tr w14:paraId="135D36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3E1FF95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43CB440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center"/>
          </w:tcPr>
          <w:p w14:paraId="0F42C3B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准备问答提示词</w:t>
            </w:r>
          </w:p>
        </w:tc>
        <w:tc>
          <w:tcPr>
            <w:tcW w:w="1356" w:type="dxa"/>
            <w:vMerge w:val="continue"/>
            <w:noWrap w:val="0"/>
            <w:vAlign w:val="center"/>
          </w:tcPr>
          <w:p w14:paraId="2EF468A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pacing w:val="10"/>
                <w:sz w:val="18"/>
                <w:szCs w:val="18"/>
              </w:rPr>
            </w:pPr>
          </w:p>
        </w:tc>
      </w:tr>
      <w:tr w14:paraId="6B4D5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95" w:type="dxa"/>
            <w:vMerge w:val="continue"/>
            <w:noWrap w:val="0"/>
            <w:vAlign w:val="center"/>
          </w:tcPr>
          <w:p w14:paraId="0E9EF5D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06836BC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center"/>
          </w:tcPr>
          <w:p w14:paraId="0EDA57E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准备仿写文档</w:t>
            </w:r>
          </w:p>
        </w:tc>
        <w:tc>
          <w:tcPr>
            <w:tcW w:w="1356" w:type="dxa"/>
            <w:vMerge w:val="continue"/>
            <w:noWrap w:val="0"/>
            <w:vAlign w:val="center"/>
          </w:tcPr>
          <w:p w14:paraId="14EC2D9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pacing w:val="10"/>
                <w:sz w:val="18"/>
                <w:szCs w:val="18"/>
              </w:rPr>
            </w:pPr>
          </w:p>
        </w:tc>
      </w:tr>
      <w:tr w14:paraId="11294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33ED49A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5E7AFEB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实验实施步骤</w:t>
            </w:r>
          </w:p>
        </w:tc>
        <w:tc>
          <w:tcPr>
            <w:tcW w:w="5058" w:type="dxa"/>
            <w:noWrap w:val="0"/>
            <w:vAlign w:val="center"/>
          </w:tcPr>
          <w:p w14:paraId="34E5807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输入问答提示词</w:t>
            </w:r>
          </w:p>
        </w:tc>
        <w:tc>
          <w:tcPr>
            <w:tcW w:w="1356" w:type="dxa"/>
            <w:vMerge w:val="continue"/>
            <w:noWrap w:val="0"/>
            <w:vAlign w:val="center"/>
          </w:tcPr>
          <w:p w14:paraId="7531BBB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26C32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1095" w:type="dxa"/>
            <w:vMerge w:val="continue"/>
            <w:noWrap w:val="0"/>
            <w:vAlign w:val="center"/>
          </w:tcPr>
          <w:p w14:paraId="33C8614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1D00CF3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center"/>
          </w:tcPr>
          <w:p w14:paraId="7E598FB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整理给出相关文献的理论应用情况</w:t>
            </w:r>
          </w:p>
        </w:tc>
        <w:tc>
          <w:tcPr>
            <w:tcW w:w="1356" w:type="dxa"/>
            <w:vMerge w:val="continue"/>
            <w:noWrap w:val="0"/>
            <w:vAlign w:val="center"/>
          </w:tcPr>
          <w:p w14:paraId="02E49A9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0EA67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95" w:type="dxa"/>
            <w:vMerge w:val="continue"/>
            <w:noWrap w:val="0"/>
            <w:vAlign w:val="center"/>
          </w:tcPr>
          <w:p w14:paraId="2A21E69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noWrap w:val="0"/>
            <w:vAlign w:val="center"/>
          </w:tcPr>
          <w:p w14:paraId="460E4A6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r>
              <w:rPr>
                <w:rFonts w:hint="eastAsia" w:ascii="宋体" w:hAnsi="宋体" w:eastAsia="宋体" w:cs="宋体"/>
                <w:sz w:val="18"/>
                <w:szCs w:val="18"/>
              </w:rPr>
              <w:t>实验总结</w:t>
            </w:r>
          </w:p>
        </w:tc>
        <w:tc>
          <w:tcPr>
            <w:tcW w:w="5058" w:type="dxa"/>
            <w:noWrap w:val="0"/>
            <w:vAlign w:val="center"/>
          </w:tcPr>
          <w:p w14:paraId="4083A69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总结论文的研究背景、理论分析、假设论证</w:t>
            </w:r>
          </w:p>
        </w:tc>
        <w:tc>
          <w:tcPr>
            <w:tcW w:w="1356" w:type="dxa"/>
            <w:vMerge w:val="continue"/>
            <w:noWrap w:val="0"/>
            <w:vAlign w:val="center"/>
          </w:tcPr>
          <w:p w14:paraId="1BFE91D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bl>
    <w:p w14:paraId="2A63F2DB">
      <w:pPr>
        <w:pageBreakBefore w:val="0"/>
        <w:widowControl w:val="0"/>
        <w:numPr>
          <w:ilvl w:val="0"/>
          <w:numId w:val="14"/>
        </w:numPr>
        <w:kinsoku/>
        <w:wordWrap/>
        <w:overflowPunct/>
        <w:topLinePunct w:val="0"/>
        <w:autoSpaceDE/>
        <w:autoSpaceDN/>
        <w:bidi w:val="0"/>
        <w:adjustRightInd w:val="0"/>
        <w:snapToGrid w:val="0"/>
        <w:spacing w:beforeAutospacing="0" w:afterAutospacing="0" w:line="360" w:lineRule="auto"/>
        <w:ind w:right="0" w:firstLine="422"/>
        <w:textAlignment w:val="auto"/>
        <w:rPr>
          <w:rFonts w:hint="eastAsia" w:ascii="宋体" w:hAnsi="宋体" w:eastAsia="宋体" w:cs="宋体"/>
          <w:b/>
          <w:sz w:val="21"/>
          <w:szCs w:val="21"/>
        </w:rPr>
      </w:pPr>
      <w:r>
        <w:rPr>
          <w:rFonts w:hint="eastAsia" w:ascii="宋体" w:hAnsi="宋体" w:eastAsia="宋体" w:cs="宋体"/>
          <w:b/>
          <w:sz w:val="21"/>
          <w:szCs w:val="21"/>
        </w:rPr>
        <w:t>实验流程（工作程序）</w:t>
      </w:r>
    </w:p>
    <w:p w14:paraId="3A464D3D">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rPr>
      </w:pPr>
      <w:r>
        <w:rPr>
          <w:rFonts w:hint="eastAsia" w:ascii="宋体" w:hAnsi="宋体" w:eastAsia="宋体" w:cs="宋体"/>
          <w:sz w:val="21"/>
          <w:szCs w:val="21"/>
        </w:rPr>
        <w:t>了解实验背景、实验目标</w:t>
      </w:r>
    </w:p>
    <w:p w14:paraId="4E88A49D">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打开并登录国内AI平台</w:t>
      </w:r>
    </w:p>
    <w:p w14:paraId="178DD66D">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输入问答提示词</w:t>
      </w:r>
    </w:p>
    <w:p w14:paraId="2932FA45">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整理给出相关文献的理论应用情况</w:t>
      </w:r>
    </w:p>
    <w:p w14:paraId="6B8F1F59">
      <w:pPr>
        <w:pageBreakBefore w:val="0"/>
        <w:widowControl w:val="0"/>
        <w:numPr>
          <w:ilvl w:val="0"/>
          <w:numId w:val="14"/>
        </w:numPr>
        <w:kinsoku/>
        <w:wordWrap/>
        <w:overflowPunct/>
        <w:topLinePunct w:val="0"/>
        <w:autoSpaceDE/>
        <w:autoSpaceDN/>
        <w:bidi w:val="0"/>
        <w:adjustRightInd w:val="0"/>
        <w:snapToGrid w:val="0"/>
        <w:spacing w:beforeAutospacing="0" w:afterAutospacing="0" w:line="360" w:lineRule="auto"/>
        <w:ind w:right="0" w:firstLine="422"/>
        <w:textAlignment w:val="auto"/>
        <w:rPr>
          <w:rFonts w:hint="eastAsia" w:ascii="宋体" w:hAnsi="宋体" w:eastAsia="宋体" w:cs="宋体"/>
          <w:b/>
          <w:sz w:val="21"/>
          <w:szCs w:val="21"/>
        </w:rPr>
      </w:pPr>
      <w:r>
        <w:rPr>
          <w:rFonts w:hint="eastAsia" w:ascii="宋体" w:hAnsi="宋体" w:eastAsia="宋体" w:cs="宋体"/>
          <w:b/>
          <w:sz w:val="21"/>
          <w:szCs w:val="21"/>
        </w:rPr>
        <w:t>实验成果</w:t>
      </w:r>
    </w:p>
    <w:p w14:paraId="746E72F6">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rPr>
      </w:pPr>
      <w:r>
        <w:rPr>
          <w:rFonts w:hint="eastAsia" w:ascii="宋体" w:hAnsi="宋体" w:eastAsia="宋体" w:cs="宋体"/>
          <w:sz w:val="21"/>
          <w:szCs w:val="21"/>
          <w:lang w:val="en-US" w:eastAsia="zh-CN"/>
        </w:rPr>
        <w:t>总结论文的研究背景、理论分析、假设论证</w:t>
      </w:r>
    </w:p>
    <w:p w14:paraId="20A0D6D6">
      <w:pPr>
        <w:pageBreakBefore w:val="0"/>
        <w:widowControl w:val="0"/>
        <w:kinsoku/>
        <w:wordWrap/>
        <w:overflowPunct/>
        <w:topLinePunct w:val="0"/>
        <w:autoSpaceDE/>
        <w:autoSpaceDN/>
        <w:bidi w:val="0"/>
        <w:adjustRightInd w:val="0"/>
        <w:snapToGrid w:val="0"/>
        <w:spacing w:beforeAutospacing="0" w:afterAutospacing="0" w:line="360" w:lineRule="auto"/>
        <w:ind w:left="0" w:leftChars="0" w:right="0" w:firstLine="0" w:firstLineChars="0"/>
        <w:textAlignment w:val="auto"/>
        <w:rPr>
          <w:rFonts w:hint="eastAsia" w:ascii="宋体" w:hAnsi="宋体" w:eastAsia="宋体" w:cs="宋体"/>
        </w:rPr>
      </w:pPr>
      <w:r>
        <w:rPr>
          <w:rFonts w:hint="eastAsia" w:ascii="宋体" w:hAnsi="宋体" w:eastAsia="宋体" w:cs="宋体"/>
        </w:rPr>
        <w:drawing>
          <wp:inline distT="0" distB="0" distL="114300" distR="114300">
            <wp:extent cx="5270500" cy="3480435"/>
            <wp:effectExtent l="0" t="0" r="6350" b="5715"/>
            <wp:docPr id="51"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65"/>
                    <pic:cNvPicPr>
                      <a:picLocks noChangeAspect="1"/>
                    </pic:cNvPicPr>
                  </pic:nvPicPr>
                  <pic:blipFill>
                    <a:blip r:embed="rId37"/>
                    <a:stretch>
                      <a:fillRect/>
                    </a:stretch>
                  </pic:blipFill>
                  <pic:spPr>
                    <a:xfrm>
                      <a:off x="0" y="0"/>
                      <a:ext cx="5270500" cy="3480435"/>
                    </a:xfrm>
                    <a:prstGeom prst="rect">
                      <a:avLst/>
                    </a:prstGeom>
                    <a:noFill/>
                    <a:ln>
                      <a:noFill/>
                    </a:ln>
                  </pic:spPr>
                </pic:pic>
              </a:graphicData>
            </a:graphic>
          </wp:inline>
        </w:drawing>
      </w:r>
      <w:r>
        <w:rPr>
          <w:rFonts w:hint="eastAsia" w:ascii="宋体" w:hAnsi="宋体" w:eastAsia="宋体" w:cs="宋体"/>
        </w:rPr>
        <w:drawing>
          <wp:inline distT="0" distB="0" distL="114300" distR="114300">
            <wp:extent cx="5273040" cy="2820670"/>
            <wp:effectExtent l="0" t="0" r="3810" b="17780"/>
            <wp:docPr id="53"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66"/>
                    <pic:cNvPicPr>
                      <a:picLocks noChangeAspect="1"/>
                    </pic:cNvPicPr>
                  </pic:nvPicPr>
                  <pic:blipFill>
                    <a:blip r:embed="rId38"/>
                    <a:stretch>
                      <a:fillRect/>
                    </a:stretch>
                  </pic:blipFill>
                  <pic:spPr>
                    <a:xfrm>
                      <a:off x="0" y="0"/>
                      <a:ext cx="5273040" cy="2820670"/>
                    </a:xfrm>
                    <a:prstGeom prst="rect">
                      <a:avLst/>
                    </a:prstGeom>
                    <a:noFill/>
                    <a:ln>
                      <a:noFill/>
                    </a:ln>
                  </pic:spPr>
                </pic:pic>
              </a:graphicData>
            </a:graphic>
          </wp:inline>
        </w:drawing>
      </w:r>
    </w:p>
    <w:p w14:paraId="4A8D9851">
      <w:pPr>
        <w:pStyle w:val="6"/>
        <w:keepNext/>
        <w:keepLines/>
        <w:pageBreakBefore w:val="0"/>
        <w:widowControl w:val="0"/>
        <w:numPr>
          <w:ilvl w:val="1"/>
          <w:numId w:val="5"/>
        </w:numPr>
        <w:tabs>
          <w:tab w:val="left" w:pos="1320"/>
        </w:tabs>
        <w:kinsoku/>
        <w:wordWrap/>
        <w:overflowPunct/>
        <w:topLinePunct w:val="0"/>
        <w:autoSpaceDE/>
        <w:autoSpaceDN/>
        <w:bidi w:val="0"/>
        <w:adjustRightInd w:val="0"/>
        <w:snapToGrid w:val="0"/>
        <w:spacing w:beforeAutospacing="0" w:afterAutospacing="0" w:line="360" w:lineRule="auto"/>
        <w:ind w:left="0" w:right="0" w:firstLine="422" w:firstLineChars="200"/>
        <w:textAlignment w:val="auto"/>
        <w:outlineLvl w:val="2"/>
        <w:rPr>
          <w:rFonts w:hint="eastAsia" w:ascii="宋体" w:hAnsi="宋体" w:eastAsia="宋体" w:cs="宋体"/>
          <w:b/>
          <w:sz w:val="21"/>
          <w:szCs w:val="21"/>
          <w:lang w:val="en-US" w:eastAsia="zh-CN"/>
        </w:rPr>
      </w:pPr>
      <w:bookmarkStart w:id="42" w:name="_Toc28158"/>
      <w:r>
        <w:rPr>
          <w:rFonts w:hint="eastAsia" w:ascii="宋体" w:hAnsi="宋体" w:cs="宋体"/>
          <w:b/>
          <w:sz w:val="21"/>
          <w:szCs w:val="21"/>
          <w:lang w:val="en-US" w:eastAsia="zh-CN"/>
        </w:rPr>
        <w:t>润色与AI审稿</w:t>
      </w:r>
      <w:bookmarkEnd w:id="42"/>
    </w:p>
    <w:p w14:paraId="07F14D31">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实验背景</w:t>
      </w:r>
    </w:p>
    <w:p w14:paraId="79741C0F">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时事政策不断调整变化，如何从海量政策中抓住与科研方向相关的政策，需要将理论分析与实际政策紧密结合，确保建议的可行性和实用性，</w:t>
      </w:r>
      <w:r>
        <w:rPr>
          <w:rFonts w:hint="eastAsia" w:ascii="宋体" w:hAnsi="宋体" w:eastAsia="宋体" w:cs="宋体"/>
          <w:i w:val="0"/>
          <w:iCs w:val="0"/>
          <w:caps w:val="0"/>
          <w:color w:val="060607"/>
          <w:spacing w:val="4"/>
          <w:sz w:val="21"/>
          <w:szCs w:val="21"/>
          <w:shd w:val="clear" w:color="auto" w:fill="FFFFFF"/>
        </w:rPr>
        <w:t>政策涉及多方利益，</w:t>
      </w:r>
      <w:r>
        <w:rPr>
          <w:rFonts w:hint="eastAsia" w:ascii="宋体" w:hAnsi="宋体" w:eastAsia="宋体" w:cs="宋体"/>
          <w:i w:val="0"/>
          <w:iCs w:val="0"/>
          <w:caps w:val="0"/>
          <w:color w:val="060607"/>
          <w:spacing w:val="4"/>
          <w:sz w:val="21"/>
          <w:szCs w:val="21"/>
          <w:shd w:val="clear" w:color="auto" w:fill="FFFFFF"/>
          <w:lang w:val="en-US" w:eastAsia="zh-CN"/>
        </w:rPr>
        <w:t>还</w:t>
      </w:r>
      <w:r>
        <w:rPr>
          <w:rFonts w:hint="eastAsia" w:ascii="宋体" w:hAnsi="宋体" w:eastAsia="宋体" w:cs="宋体"/>
          <w:i w:val="0"/>
          <w:iCs w:val="0"/>
          <w:caps w:val="0"/>
          <w:color w:val="060607"/>
          <w:spacing w:val="4"/>
          <w:sz w:val="21"/>
          <w:szCs w:val="21"/>
          <w:shd w:val="clear" w:color="auto" w:fill="FFFFFF"/>
        </w:rPr>
        <w:t>需要考虑不同利益相关者的诉求和政策的长远影响</w:t>
      </w:r>
      <w:r>
        <w:rPr>
          <w:rFonts w:hint="eastAsia" w:ascii="宋体" w:hAnsi="宋体" w:eastAsia="宋体" w:cs="宋体"/>
          <w:i w:val="0"/>
          <w:iCs w:val="0"/>
          <w:caps w:val="0"/>
          <w:color w:val="060607"/>
          <w:spacing w:val="4"/>
          <w:sz w:val="21"/>
          <w:szCs w:val="21"/>
          <w:shd w:val="clear" w:color="auto" w:fill="FFFFFF"/>
          <w:lang w:eastAsia="zh-CN"/>
        </w:rPr>
        <w:t>，</w:t>
      </w:r>
      <w:r>
        <w:rPr>
          <w:rFonts w:hint="eastAsia" w:ascii="宋体" w:hAnsi="宋体" w:eastAsia="宋体" w:cs="宋体"/>
          <w:i w:val="0"/>
          <w:iCs w:val="0"/>
          <w:caps w:val="0"/>
          <w:color w:val="060607"/>
          <w:spacing w:val="4"/>
          <w:sz w:val="21"/>
          <w:szCs w:val="21"/>
          <w:shd w:val="clear" w:color="auto" w:fill="FFFFFF"/>
          <w:lang w:val="en-US" w:eastAsia="zh-CN"/>
        </w:rPr>
        <w:t>这不仅需要保留对政策的敏感度，还需要精准发力，总结相关政策。</w:t>
      </w:r>
    </w:p>
    <w:p w14:paraId="06CE5E46">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实验内容</w:t>
      </w:r>
    </w:p>
    <w:p w14:paraId="21B66ADA">
      <w:pPr>
        <w:pageBreakBefore w:val="0"/>
        <w:widowControl w:val="0"/>
        <w:kinsoku/>
        <w:wordWrap/>
        <w:overflowPunct/>
        <w:topLinePunct w:val="0"/>
        <w:autoSpaceDE/>
        <w:autoSpaceDN/>
        <w:bidi w:val="0"/>
        <w:adjustRightInd w:val="0"/>
        <w:snapToGrid w:val="0"/>
        <w:spacing w:beforeAutospacing="0" w:afterAutospacing="0" w:line="360" w:lineRule="auto"/>
        <w:ind w:right="0" w:firstLine="360"/>
        <w:jc w:val="center"/>
        <w:textAlignment w:val="auto"/>
        <w:rPr>
          <w:rFonts w:hint="eastAsia" w:ascii="宋体" w:hAnsi="宋体" w:eastAsia="宋体" w:cs="宋体"/>
          <w:sz w:val="18"/>
          <w:szCs w:val="18"/>
          <w:lang w:val="en-US" w:eastAsia="zh-CN" w:bidi="ar"/>
        </w:rPr>
      </w:pPr>
      <w:r>
        <w:rPr>
          <w:rFonts w:hint="eastAsia" w:ascii="宋体" w:hAnsi="宋体" w:eastAsia="宋体" w:cs="宋体"/>
          <w:sz w:val="18"/>
          <w:szCs w:val="18"/>
          <w:lang w:bidi="ar"/>
        </w:rPr>
        <w:t>表</w:t>
      </w:r>
      <w:r>
        <w:rPr>
          <w:rFonts w:hint="eastAsia" w:ascii="宋体" w:hAnsi="宋体" w:eastAsia="宋体" w:cs="宋体"/>
          <w:sz w:val="18"/>
          <w:szCs w:val="18"/>
          <w:lang w:val="en-US" w:eastAsia="zh-CN" w:bidi="ar"/>
        </w:rPr>
        <w:t xml:space="preserve">8  </w:t>
      </w:r>
      <w:r>
        <w:rPr>
          <w:rFonts w:hint="eastAsia" w:ascii="宋体" w:hAnsi="宋体" w:cs="宋体"/>
          <w:sz w:val="18"/>
          <w:szCs w:val="18"/>
          <w:lang w:val="en-US" w:eastAsia="zh-CN" w:bidi="ar"/>
        </w:rPr>
        <w:t>润色与AI审稿</w:t>
      </w:r>
    </w:p>
    <w:tbl>
      <w:tblPr>
        <w:tblStyle w:val="18"/>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47B43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095" w:type="dxa"/>
            <w:shd w:val="clear" w:color="auto" w:fill="E6E6E6"/>
            <w:noWrap w:val="0"/>
            <w:vAlign w:val="center"/>
          </w:tcPr>
          <w:p w14:paraId="090FED7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一级模块</w:t>
            </w:r>
          </w:p>
        </w:tc>
        <w:tc>
          <w:tcPr>
            <w:tcW w:w="1240" w:type="dxa"/>
            <w:shd w:val="clear" w:color="auto" w:fill="E6E6E6"/>
            <w:noWrap w:val="0"/>
            <w:vAlign w:val="center"/>
          </w:tcPr>
          <w:p w14:paraId="31309B1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二级模块</w:t>
            </w:r>
          </w:p>
        </w:tc>
        <w:tc>
          <w:tcPr>
            <w:tcW w:w="5058" w:type="dxa"/>
            <w:shd w:val="clear" w:color="auto" w:fill="E6E6E6"/>
            <w:noWrap w:val="0"/>
            <w:vAlign w:val="center"/>
          </w:tcPr>
          <w:p w14:paraId="3B128FC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实验项目名称</w:t>
            </w:r>
          </w:p>
        </w:tc>
        <w:tc>
          <w:tcPr>
            <w:tcW w:w="1356" w:type="dxa"/>
            <w:shd w:val="clear" w:color="auto" w:fill="E6E6E6"/>
            <w:noWrap w:val="0"/>
            <w:vAlign w:val="center"/>
          </w:tcPr>
          <w:p w14:paraId="3090985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涉及平台</w:t>
            </w:r>
          </w:p>
        </w:tc>
      </w:tr>
      <w:tr w14:paraId="3F7C4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restart"/>
            <w:noWrap w:val="0"/>
            <w:vAlign w:val="center"/>
          </w:tcPr>
          <w:p w14:paraId="225D23BA">
            <w:pPr>
              <w:pageBreakBefore w:val="0"/>
              <w:widowControl w:val="0"/>
              <w:tabs>
                <w:tab w:val="left" w:pos="1320"/>
              </w:tabs>
              <w:kinsoku/>
              <w:wordWrap/>
              <w:overflowPunct/>
              <w:topLinePunct w:val="0"/>
              <w:autoSpaceDE/>
              <w:autoSpaceDN/>
              <w:bidi w:val="0"/>
              <w:adjustRightInd w:val="0"/>
              <w:snapToGrid w:val="0"/>
              <w:spacing w:beforeAutospacing="0" w:afterAutospacing="0" w:line="360" w:lineRule="auto"/>
              <w:ind w:right="0" w:firstLine="0" w:firstLineChars="0"/>
              <w:jc w:val="center"/>
              <w:textAlignment w:val="auto"/>
              <w:rPr>
                <w:rFonts w:hint="eastAsia" w:ascii="宋体" w:hAnsi="宋体" w:eastAsia="宋体" w:cs="宋体"/>
                <w:sz w:val="18"/>
                <w:szCs w:val="18"/>
                <w:lang w:val="en-US" w:eastAsia="zh-CN" w:bidi="ar"/>
              </w:rPr>
            </w:pPr>
            <w:r>
              <w:rPr>
                <w:rFonts w:hint="eastAsia" w:ascii="宋体" w:hAnsi="宋体" w:eastAsia="宋体" w:cs="宋体"/>
                <w:sz w:val="18"/>
                <w:szCs w:val="18"/>
                <w:lang w:bidi="ar"/>
              </w:rPr>
              <w:br w:type="textWrapping"/>
            </w:r>
            <w:r>
              <w:rPr>
                <w:rFonts w:hint="eastAsia" w:ascii="宋体" w:hAnsi="宋体" w:cs="宋体"/>
                <w:sz w:val="18"/>
                <w:szCs w:val="18"/>
                <w:lang w:eastAsia="zh-CN" w:bidi="ar"/>
              </w:rPr>
              <w:t>润色与AI审稿</w:t>
            </w:r>
          </w:p>
          <w:p w14:paraId="717E158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63D44AF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实验准备</w:t>
            </w:r>
          </w:p>
        </w:tc>
        <w:tc>
          <w:tcPr>
            <w:tcW w:w="5058" w:type="dxa"/>
            <w:noWrap w:val="0"/>
            <w:vAlign w:val="center"/>
          </w:tcPr>
          <w:p w14:paraId="0F20D95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打开并登录国内AI平台</w:t>
            </w:r>
          </w:p>
        </w:tc>
        <w:tc>
          <w:tcPr>
            <w:tcW w:w="1356" w:type="dxa"/>
            <w:vMerge w:val="restart"/>
            <w:noWrap w:val="0"/>
            <w:vAlign w:val="center"/>
          </w:tcPr>
          <w:p w14:paraId="558A099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val="en-US" w:eastAsia="zh-CN"/>
              </w:rPr>
              <w:t>国内AI大模型</w:t>
            </w:r>
          </w:p>
        </w:tc>
      </w:tr>
      <w:tr w14:paraId="7263DA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72AB19B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6043FBC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center"/>
          </w:tcPr>
          <w:p w14:paraId="36EA5CF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准备问答提示词</w:t>
            </w:r>
          </w:p>
        </w:tc>
        <w:tc>
          <w:tcPr>
            <w:tcW w:w="1356" w:type="dxa"/>
            <w:vMerge w:val="continue"/>
            <w:noWrap w:val="0"/>
            <w:vAlign w:val="center"/>
          </w:tcPr>
          <w:p w14:paraId="55F84FF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pacing w:val="10"/>
                <w:sz w:val="18"/>
                <w:szCs w:val="18"/>
              </w:rPr>
            </w:pPr>
          </w:p>
        </w:tc>
      </w:tr>
      <w:tr w14:paraId="592796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56B5FAE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2FCD8DE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center"/>
          </w:tcPr>
          <w:p w14:paraId="6860A44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准备仿写文档</w:t>
            </w:r>
          </w:p>
        </w:tc>
        <w:tc>
          <w:tcPr>
            <w:tcW w:w="1356" w:type="dxa"/>
            <w:vMerge w:val="continue"/>
            <w:noWrap w:val="0"/>
            <w:vAlign w:val="center"/>
          </w:tcPr>
          <w:p w14:paraId="71CA4ED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pacing w:val="10"/>
                <w:sz w:val="18"/>
                <w:szCs w:val="18"/>
              </w:rPr>
            </w:pPr>
          </w:p>
        </w:tc>
      </w:tr>
      <w:tr w14:paraId="74EF4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06A9877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3154B8A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实验实施步骤</w:t>
            </w:r>
          </w:p>
        </w:tc>
        <w:tc>
          <w:tcPr>
            <w:tcW w:w="5058" w:type="dxa"/>
            <w:noWrap w:val="0"/>
            <w:vAlign w:val="center"/>
          </w:tcPr>
          <w:p w14:paraId="0E62C7E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输入问答提示词</w:t>
            </w:r>
          </w:p>
        </w:tc>
        <w:tc>
          <w:tcPr>
            <w:tcW w:w="1356" w:type="dxa"/>
            <w:vMerge w:val="continue"/>
            <w:noWrap w:val="0"/>
            <w:vAlign w:val="center"/>
          </w:tcPr>
          <w:p w14:paraId="3D0EFD3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72F219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1095" w:type="dxa"/>
            <w:vMerge w:val="continue"/>
            <w:noWrap w:val="0"/>
            <w:vAlign w:val="center"/>
          </w:tcPr>
          <w:p w14:paraId="33E78C9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08B8659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center"/>
          </w:tcPr>
          <w:p w14:paraId="2E2AC5D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整理给出时事政策</w:t>
            </w:r>
          </w:p>
        </w:tc>
        <w:tc>
          <w:tcPr>
            <w:tcW w:w="1356" w:type="dxa"/>
            <w:vMerge w:val="continue"/>
            <w:noWrap w:val="0"/>
            <w:vAlign w:val="center"/>
          </w:tcPr>
          <w:p w14:paraId="01FE491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45EA9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95" w:type="dxa"/>
            <w:vMerge w:val="continue"/>
            <w:noWrap w:val="0"/>
            <w:vAlign w:val="center"/>
          </w:tcPr>
          <w:p w14:paraId="4D25E1F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noWrap w:val="0"/>
            <w:vAlign w:val="center"/>
          </w:tcPr>
          <w:p w14:paraId="00F912B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r>
              <w:rPr>
                <w:rFonts w:hint="eastAsia" w:ascii="宋体" w:hAnsi="宋体" w:eastAsia="宋体" w:cs="宋体"/>
                <w:sz w:val="18"/>
                <w:szCs w:val="18"/>
              </w:rPr>
              <w:t>实验总结</w:t>
            </w:r>
          </w:p>
        </w:tc>
        <w:tc>
          <w:tcPr>
            <w:tcW w:w="5058" w:type="dxa"/>
            <w:noWrap w:val="0"/>
            <w:vAlign w:val="center"/>
          </w:tcPr>
          <w:p w14:paraId="309A950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总结各时事政策，给出切题的</w:t>
            </w:r>
            <w:r>
              <w:rPr>
                <w:rFonts w:hint="eastAsia" w:hAnsi="宋体" w:cs="宋体"/>
                <w:spacing w:val="10"/>
                <w:sz w:val="18"/>
                <w:szCs w:val="18"/>
                <w:lang w:val="en-US" w:eastAsia="zh-CN"/>
              </w:rPr>
              <w:t>润色与AI审稿</w:t>
            </w:r>
          </w:p>
        </w:tc>
        <w:tc>
          <w:tcPr>
            <w:tcW w:w="1356" w:type="dxa"/>
            <w:vMerge w:val="continue"/>
            <w:noWrap w:val="0"/>
            <w:vAlign w:val="center"/>
          </w:tcPr>
          <w:p w14:paraId="7E1D805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bl>
    <w:p w14:paraId="4B7A8AF4">
      <w:pPr>
        <w:pageBreakBefore w:val="0"/>
        <w:widowControl w:val="0"/>
        <w:numPr>
          <w:ilvl w:val="0"/>
          <w:numId w:val="15"/>
        </w:numPr>
        <w:kinsoku/>
        <w:wordWrap/>
        <w:overflowPunct/>
        <w:topLinePunct w:val="0"/>
        <w:autoSpaceDE/>
        <w:autoSpaceDN/>
        <w:bidi w:val="0"/>
        <w:adjustRightInd w:val="0"/>
        <w:snapToGrid w:val="0"/>
        <w:spacing w:beforeAutospacing="0" w:afterAutospacing="0" w:line="360" w:lineRule="auto"/>
        <w:ind w:right="0" w:firstLine="422"/>
        <w:textAlignment w:val="auto"/>
        <w:rPr>
          <w:rFonts w:hint="eastAsia" w:ascii="宋体" w:hAnsi="宋体" w:eastAsia="宋体" w:cs="宋体"/>
          <w:b/>
          <w:sz w:val="21"/>
          <w:szCs w:val="21"/>
        </w:rPr>
      </w:pPr>
      <w:r>
        <w:rPr>
          <w:rFonts w:hint="eastAsia" w:ascii="宋体" w:hAnsi="宋体" w:eastAsia="宋体" w:cs="宋体"/>
          <w:b/>
          <w:sz w:val="21"/>
          <w:szCs w:val="21"/>
        </w:rPr>
        <w:t>实验流程（工作程序）</w:t>
      </w:r>
    </w:p>
    <w:p w14:paraId="3ABBB925">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rPr>
      </w:pPr>
      <w:r>
        <w:rPr>
          <w:rFonts w:hint="eastAsia" w:ascii="宋体" w:hAnsi="宋体" w:eastAsia="宋体" w:cs="宋体"/>
          <w:sz w:val="21"/>
          <w:szCs w:val="21"/>
        </w:rPr>
        <w:t>了解实验背景、实验目标</w:t>
      </w:r>
    </w:p>
    <w:p w14:paraId="1D8FA269">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打开并登录国内AI平台</w:t>
      </w:r>
    </w:p>
    <w:p w14:paraId="107371E2">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输入问答提示词</w:t>
      </w:r>
    </w:p>
    <w:p w14:paraId="2603C624">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整理总结论文相关</w:t>
      </w:r>
      <w:r>
        <w:rPr>
          <w:rFonts w:hint="eastAsia" w:ascii="宋体" w:hAnsi="宋体" w:cs="宋体"/>
          <w:sz w:val="21"/>
          <w:szCs w:val="21"/>
          <w:lang w:val="en-US" w:eastAsia="zh-CN"/>
        </w:rPr>
        <w:t>润色</w:t>
      </w:r>
      <w:r>
        <w:rPr>
          <w:rFonts w:hint="eastAsia" w:ascii="宋体" w:hAnsi="宋体" w:eastAsia="宋体" w:cs="宋体"/>
          <w:sz w:val="21"/>
          <w:szCs w:val="21"/>
          <w:lang w:val="en-US" w:eastAsia="zh-CN"/>
        </w:rPr>
        <w:t>内容</w:t>
      </w:r>
    </w:p>
    <w:p w14:paraId="208054FA">
      <w:pPr>
        <w:pageBreakBefore w:val="0"/>
        <w:widowControl w:val="0"/>
        <w:numPr>
          <w:ilvl w:val="0"/>
          <w:numId w:val="15"/>
        </w:numPr>
        <w:kinsoku/>
        <w:wordWrap/>
        <w:overflowPunct/>
        <w:topLinePunct w:val="0"/>
        <w:autoSpaceDE/>
        <w:autoSpaceDN/>
        <w:bidi w:val="0"/>
        <w:adjustRightInd w:val="0"/>
        <w:snapToGrid w:val="0"/>
        <w:spacing w:beforeAutospacing="0" w:afterAutospacing="0" w:line="360" w:lineRule="auto"/>
        <w:ind w:right="0" w:firstLine="422"/>
        <w:textAlignment w:val="auto"/>
        <w:rPr>
          <w:rFonts w:hint="eastAsia" w:ascii="宋体" w:hAnsi="宋体" w:eastAsia="宋体" w:cs="宋体"/>
          <w:b/>
          <w:sz w:val="21"/>
          <w:szCs w:val="21"/>
        </w:rPr>
      </w:pPr>
      <w:r>
        <w:rPr>
          <w:rFonts w:hint="eastAsia" w:ascii="宋体" w:hAnsi="宋体" w:eastAsia="宋体" w:cs="宋体"/>
          <w:b/>
          <w:sz w:val="21"/>
          <w:szCs w:val="21"/>
        </w:rPr>
        <w:t>实验成果</w:t>
      </w:r>
    </w:p>
    <w:p w14:paraId="791C6057">
      <w:pPr>
        <w:pageBreakBefore w:val="0"/>
        <w:widowControl w:val="0"/>
        <w:numPr>
          <w:ilvl w:val="0"/>
          <w:numId w:val="8"/>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right="0" w:firstLineChars="0"/>
        <w:textAlignment w:val="auto"/>
        <w:rPr>
          <w:rFonts w:hint="eastAsia" w:ascii="宋体" w:hAnsi="宋体" w:eastAsia="宋体" w:cs="宋体"/>
        </w:rPr>
      </w:pPr>
      <w:r>
        <w:rPr>
          <w:rFonts w:hint="eastAsia" w:ascii="宋体" w:hAnsi="宋体" w:eastAsia="宋体" w:cs="宋体"/>
          <w:sz w:val="21"/>
          <w:szCs w:val="21"/>
          <w:lang w:val="en-US" w:eastAsia="zh-CN"/>
        </w:rPr>
        <w:t>总结各时事政策，给出切题的</w:t>
      </w:r>
      <w:r>
        <w:rPr>
          <w:rFonts w:hint="eastAsia" w:ascii="宋体" w:hAnsi="宋体" w:cs="宋体"/>
          <w:sz w:val="21"/>
          <w:szCs w:val="21"/>
          <w:lang w:val="en-US" w:eastAsia="zh-CN"/>
        </w:rPr>
        <w:t>润色与AI审稿</w:t>
      </w:r>
    </w:p>
    <w:p w14:paraId="328852D6">
      <w:pPr>
        <w:pStyle w:val="4"/>
        <w:pageBreakBefore w:val="0"/>
        <w:widowControl w:val="0"/>
        <w:numPr>
          <w:ilvl w:val="0"/>
          <w:numId w:val="3"/>
        </w:numPr>
        <w:kinsoku/>
        <w:wordWrap/>
        <w:overflowPunct/>
        <w:topLinePunct w:val="0"/>
        <w:autoSpaceDE/>
        <w:autoSpaceDN/>
        <w:bidi w:val="0"/>
        <w:adjustRightInd w:val="0"/>
        <w:snapToGrid w:val="0"/>
        <w:spacing w:before="0" w:beforeLines="0" w:beforeAutospacing="0" w:after="0" w:afterLines="0" w:afterAutospacing="0" w:line="360" w:lineRule="auto"/>
        <w:ind w:right="0" w:firstLine="403" w:firstLineChars="0"/>
        <w:textAlignment w:val="auto"/>
        <w:outlineLvl w:val="1"/>
        <w:rPr>
          <w:rFonts w:hint="eastAsia" w:ascii="宋体" w:hAnsi="宋体" w:eastAsia="宋体" w:cs="宋体"/>
          <w:sz w:val="24"/>
        </w:rPr>
      </w:pPr>
      <w:bookmarkStart w:id="43" w:name="_Toc13083"/>
      <w:bookmarkStart w:id="44" w:name="_Toc21664"/>
      <w:bookmarkStart w:id="45" w:name="_Toc31634"/>
      <w:r>
        <w:rPr>
          <w:rFonts w:hint="eastAsia" w:ascii="宋体" w:hAnsi="宋体" w:cs="宋体"/>
          <w:sz w:val="24"/>
          <w:lang w:val="en-US" w:eastAsia="zh-CN"/>
        </w:rPr>
        <w:t>AI金融计量教学平台案例简介</w:t>
      </w:r>
      <w:bookmarkEnd w:id="43"/>
      <w:bookmarkEnd w:id="44"/>
      <w:bookmarkEnd w:id="45"/>
    </w:p>
    <w:p w14:paraId="3804EB29">
      <w:pPr>
        <w:pStyle w:val="6"/>
        <w:keepNext/>
        <w:keepLines/>
        <w:pageBreakBefore w:val="0"/>
        <w:widowControl w:val="0"/>
        <w:numPr>
          <w:ilvl w:val="1"/>
          <w:numId w:val="16"/>
        </w:numPr>
        <w:tabs>
          <w:tab w:val="left" w:pos="1320"/>
        </w:tabs>
        <w:kinsoku/>
        <w:wordWrap/>
        <w:overflowPunct/>
        <w:topLinePunct w:val="0"/>
        <w:autoSpaceDE/>
        <w:autoSpaceDN/>
        <w:bidi w:val="0"/>
        <w:adjustRightInd w:val="0"/>
        <w:snapToGrid w:val="0"/>
        <w:spacing w:beforeAutospacing="0" w:afterAutospacing="0" w:line="360" w:lineRule="auto"/>
        <w:ind w:left="0" w:right="0" w:firstLine="422" w:firstLineChars="200"/>
        <w:textAlignment w:val="auto"/>
        <w:outlineLvl w:val="2"/>
        <w:rPr>
          <w:rFonts w:hint="eastAsia" w:ascii="宋体" w:hAnsi="宋体" w:eastAsia="宋体" w:cs="宋体"/>
          <w:b/>
          <w:sz w:val="21"/>
          <w:szCs w:val="21"/>
          <w:lang w:val="en-US" w:eastAsia="zh-CN"/>
        </w:rPr>
      </w:pPr>
      <w:bookmarkStart w:id="46" w:name="_Toc19404"/>
      <w:bookmarkStart w:id="47" w:name="_Toc18820"/>
      <w:r>
        <w:rPr>
          <w:rFonts w:hint="eastAsia" w:ascii="宋体" w:hAnsi="宋体" w:eastAsia="宋体" w:cs="宋体"/>
          <w:b/>
          <w:sz w:val="21"/>
          <w:szCs w:val="21"/>
          <w:lang w:val="en-US" w:eastAsia="zh-CN"/>
        </w:rPr>
        <w:t>双向固定效应模型(管理层宏观经济认知与企业违约风险)</w:t>
      </w:r>
      <w:bookmarkEnd w:id="46"/>
    </w:p>
    <w:p w14:paraId="7B1EF5AB">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案例概述</w:t>
      </w:r>
    </w:p>
    <w:p w14:paraId="64A49F5E">
      <w:pPr>
        <w:pageBreakBefore w:val="0"/>
        <w:widowControl w:val="0"/>
        <w:kinsoku/>
        <w:wordWrap/>
        <w:overflowPunct/>
        <w:topLinePunct w:val="0"/>
        <w:autoSpaceDE/>
        <w:autoSpaceDN/>
        <w:bidi w:val="0"/>
        <w:adjustRightInd w:val="0"/>
        <w:snapToGrid w:val="0"/>
        <w:spacing w:beforeAutospacing="0" w:afterAutospacing="0" w:line="360" w:lineRule="auto"/>
        <w:ind w:right="0" w:firstLine="360"/>
        <w:jc w:val="center"/>
        <w:textAlignment w:val="auto"/>
        <w:rPr>
          <w:rFonts w:hint="eastAsia" w:ascii="宋体" w:hAnsi="宋体" w:eastAsia="宋体" w:cs="宋体"/>
          <w:sz w:val="18"/>
          <w:szCs w:val="18"/>
          <w:lang w:val="en-US" w:eastAsia="zh-CN" w:bidi="ar"/>
        </w:rPr>
      </w:pPr>
      <w:r>
        <w:rPr>
          <w:rFonts w:hint="eastAsia" w:ascii="宋体" w:hAnsi="宋体" w:eastAsia="宋体" w:cs="宋体"/>
          <w:sz w:val="18"/>
          <w:szCs w:val="18"/>
          <w:lang w:bidi="ar"/>
        </w:rPr>
        <w:t>表</w:t>
      </w:r>
      <w:r>
        <w:rPr>
          <w:rFonts w:hint="eastAsia" w:ascii="宋体" w:hAnsi="宋体" w:cs="宋体"/>
          <w:sz w:val="18"/>
          <w:szCs w:val="18"/>
          <w:lang w:val="en-US" w:eastAsia="zh-CN" w:bidi="ar"/>
        </w:rPr>
        <w:t>1</w:t>
      </w:r>
      <w:r>
        <w:rPr>
          <w:rFonts w:hint="eastAsia" w:ascii="宋体" w:hAnsi="宋体" w:eastAsia="宋体" w:cs="宋体"/>
          <w:sz w:val="18"/>
          <w:szCs w:val="18"/>
          <w:lang w:bidi="ar"/>
        </w:rPr>
        <w:t xml:space="preserve"> 案例</w:t>
      </w:r>
      <w:r>
        <w:rPr>
          <w:rFonts w:hint="eastAsia" w:ascii="宋体" w:hAnsi="宋体" w:eastAsia="宋体" w:cs="宋体"/>
          <w:sz w:val="18"/>
          <w:szCs w:val="18"/>
          <w:lang w:val="en-US" w:eastAsia="zh-CN" w:bidi="ar"/>
        </w:rPr>
        <w:t>概述</w:t>
      </w:r>
    </w:p>
    <w:tbl>
      <w:tblPr>
        <w:tblStyle w:val="39"/>
        <w:tblW w:w="5012"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34"/>
        <w:gridCol w:w="7008"/>
      </w:tblGrid>
      <w:tr w14:paraId="77C191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1534" w:type="dxa"/>
            <w:noWrap w:val="0"/>
            <w:vAlign w:val="center"/>
          </w:tcPr>
          <w:p w14:paraId="1868CDD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b/>
                <w:bCs/>
                <w:sz w:val="18"/>
                <w:szCs w:val="18"/>
              </w:rPr>
            </w:pPr>
            <w:r>
              <w:rPr>
                <w:rFonts w:hint="eastAsia" w:hAnsi="宋体" w:cs="宋体"/>
                <w:b/>
                <w:bCs/>
                <w:sz w:val="18"/>
                <w:szCs w:val="18"/>
              </w:rPr>
              <w:t>模块</w:t>
            </w:r>
          </w:p>
        </w:tc>
        <w:tc>
          <w:tcPr>
            <w:tcW w:w="7008" w:type="dxa"/>
            <w:noWrap w:val="0"/>
            <w:vAlign w:val="center"/>
          </w:tcPr>
          <w:p w14:paraId="20A1CA8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b/>
                <w:bCs/>
                <w:sz w:val="18"/>
                <w:szCs w:val="18"/>
              </w:rPr>
            </w:pPr>
            <w:r>
              <w:rPr>
                <w:rFonts w:hint="eastAsia" w:hAnsi="宋体" w:cs="宋体"/>
                <w:b/>
                <w:bCs/>
                <w:sz w:val="18"/>
                <w:szCs w:val="18"/>
              </w:rPr>
              <w:t>模块内容</w:t>
            </w:r>
          </w:p>
        </w:tc>
      </w:tr>
      <w:tr w14:paraId="2E9A3D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34" w:type="dxa"/>
            <w:noWrap w:val="0"/>
            <w:vAlign w:val="center"/>
          </w:tcPr>
          <w:p w14:paraId="4DD8976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sz w:val="18"/>
                <w:szCs w:val="18"/>
              </w:rPr>
            </w:pPr>
            <w:r>
              <w:rPr>
                <w:rFonts w:hint="eastAsia" w:hAnsi="宋体" w:cs="宋体"/>
                <w:sz w:val="18"/>
                <w:szCs w:val="18"/>
              </w:rPr>
              <w:t>课时设置</w:t>
            </w:r>
          </w:p>
        </w:tc>
        <w:tc>
          <w:tcPr>
            <w:tcW w:w="7008" w:type="dxa"/>
            <w:noWrap w:val="0"/>
            <w:vAlign w:val="center"/>
          </w:tcPr>
          <w:p w14:paraId="3B69DEB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both"/>
              <w:textAlignment w:val="auto"/>
              <w:rPr>
                <w:rFonts w:hint="eastAsia" w:hAnsi="宋体" w:cs="宋体"/>
                <w:sz w:val="18"/>
                <w:szCs w:val="18"/>
              </w:rPr>
            </w:pPr>
            <w:r>
              <w:rPr>
                <w:rFonts w:hint="eastAsia" w:hAnsi="宋体" w:cs="宋体"/>
                <w:sz w:val="18"/>
                <w:szCs w:val="18"/>
              </w:rPr>
              <w:t>理论教学4学时，实践教学4学时，总计8学时。</w:t>
            </w:r>
          </w:p>
        </w:tc>
      </w:tr>
      <w:tr w14:paraId="23D269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1534" w:type="dxa"/>
            <w:noWrap w:val="0"/>
            <w:vAlign w:val="center"/>
          </w:tcPr>
          <w:p w14:paraId="74CF8E2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sz w:val="18"/>
                <w:szCs w:val="18"/>
              </w:rPr>
            </w:pPr>
            <w:r>
              <w:rPr>
                <w:rFonts w:hint="eastAsia" w:hAnsi="宋体" w:cs="宋体"/>
                <w:sz w:val="18"/>
                <w:szCs w:val="18"/>
              </w:rPr>
              <w:t>案例资源</w:t>
            </w:r>
          </w:p>
        </w:tc>
        <w:tc>
          <w:tcPr>
            <w:tcW w:w="7008" w:type="dxa"/>
            <w:noWrap w:val="0"/>
            <w:vAlign w:val="center"/>
          </w:tcPr>
          <w:p w14:paraId="1C12820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left"/>
              <w:textAlignment w:val="auto"/>
              <w:rPr>
                <w:rFonts w:hint="eastAsia" w:hAnsi="宋体" w:cs="宋体"/>
                <w:sz w:val="18"/>
                <w:szCs w:val="18"/>
              </w:rPr>
            </w:pPr>
            <w:r>
              <w:rPr>
                <w:rFonts w:hint="eastAsia" w:hAnsi="宋体" w:cs="宋体"/>
                <w:sz w:val="18"/>
                <w:szCs w:val="18"/>
              </w:rPr>
              <w:t>包含</w:t>
            </w:r>
            <w:r>
              <w:rPr>
                <w:rFonts w:hint="eastAsia" w:hAnsi="宋体" w:cs="宋体"/>
                <w:sz w:val="18"/>
                <w:szCs w:val="18"/>
                <w:lang w:val="en-US" w:eastAsia="zh-CN"/>
              </w:rPr>
              <w:t>10</w:t>
            </w:r>
            <w:r>
              <w:rPr>
                <w:rFonts w:hint="eastAsia" w:hAnsi="宋体" w:cs="宋体"/>
                <w:sz w:val="18"/>
                <w:szCs w:val="18"/>
              </w:rPr>
              <w:t>份实训指导书、</w:t>
            </w:r>
            <w:r>
              <w:rPr>
                <w:rFonts w:hint="eastAsia" w:hAnsi="宋体" w:cs="宋体"/>
                <w:sz w:val="18"/>
                <w:szCs w:val="18"/>
                <w:lang w:val="en-US" w:eastAsia="zh-CN"/>
              </w:rPr>
              <w:t>10</w:t>
            </w:r>
            <w:r>
              <w:rPr>
                <w:rFonts w:hint="eastAsia" w:hAnsi="宋体" w:cs="宋体"/>
                <w:sz w:val="18"/>
                <w:szCs w:val="18"/>
              </w:rPr>
              <w:t>个案例视频、</w:t>
            </w:r>
            <w:r>
              <w:rPr>
                <w:rFonts w:hint="eastAsia" w:hAnsi="宋体" w:cs="宋体"/>
                <w:sz w:val="18"/>
                <w:szCs w:val="18"/>
                <w:lang w:val="en-US" w:eastAsia="zh-CN"/>
              </w:rPr>
              <w:t>1</w:t>
            </w:r>
            <w:r>
              <w:rPr>
                <w:rFonts w:hint="eastAsia" w:hAnsi="宋体" w:cs="宋体"/>
                <w:sz w:val="18"/>
                <w:szCs w:val="18"/>
              </w:rPr>
              <w:t>份数据</w:t>
            </w:r>
            <w:r>
              <w:rPr>
                <w:rFonts w:hint="eastAsia" w:hAnsi="宋体" w:cs="宋体"/>
                <w:sz w:val="18"/>
                <w:szCs w:val="18"/>
                <w:lang w:eastAsia="zh-CN"/>
              </w:rPr>
              <w:t>、</w:t>
            </w:r>
            <w:r>
              <w:rPr>
                <w:rFonts w:hint="eastAsia" w:hAnsi="宋体" w:cs="宋体"/>
                <w:sz w:val="18"/>
                <w:szCs w:val="18"/>
                <w:lang w:val="en-US" w:eastAsia="zh-CN"/>
              </w:rPr>
              <w:t>1份论文仿写设计报告模板</w:t>
            </w:r>
            <w:r>
              <w:rPr>
                <w:rFonts w:hint="eastAsia" w:hAnsi="宋体" w:cs="宋体"/>
                <w:sz w:val="18"/>
                <w:szCs w:val="18"/>
              </w:rPr>
              <w:t>。</w:t>
            </w:r>
          </w:p>
        </w:tc>
      </w:tr>
      <w:tr w14:paraId="66B875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34" w:type="dxa"/>
            <w:noWrap w:val="0"/>
            <w:vAlign w:val="center"/>
          </w:tcPr>
          <w:p w14:paraId="26616B1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sz w:val="18"/>
                <w:szCs w:val="18"/>
              </w:rPr>
            </w:pPr>
            <w:r>
              <w:rPr>
                <w:rFonts w:hint="eastAsia" w:hAnsi="宋体" w:cs="宋体"/>
                <w:sz w:val="18"/>
                <w:szCs w:val="18"/>
              </w:rPr>
              <w:t>技能点</w:t>
            </w:r>
          </w:p>
        </w:tc>
        <w:tc>
          <w:tcPr>
            <w:tcW w:w="7008" w:type="dxa"/>
            <w:noWrap w:val="0"/>
            <w:vAlign w:val="center"/>
          </w:tcPr>
          <w:p w14:paraId="4401163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left"/>
              <w:textAlignment w:val="auto"/>
              <w:rPr>
                <w:rFonts w:hint="eastAsia" w:hAnsi="宋体" w:cs="宋体"/>
                <w:sz w:val="18"/>
                <w:szCs w:val="18"/>
              </w:rPr>
            </w:pPr>
            <w:r>
              <w:rPr>
                <w:rFonts w:hint="eastAsia" w:hAnsi="宋体" w:cs="宋体"/>
                <w:sz w:val="18"/>
                <w:szCs w:val="18"/>
                <w:lang w:val="en-US" w:eastAsia="zh-CN"/>
              </w:rPr>
              <w:t>高效掌握双向固定效应模型建模技巧与论文写作技巧</w:t>
            </w:r>
          </w:p>
        </w:tc>
      </w:tr>
      <w:tr w14:paraId="29D8FD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2" w:hRule="atLeast"/>
          <w:jc w:val="center"/>
        </w:trPr>
        <w:tc>
          <w:tcPr>
            <w:tcW w:w="1534" w:type="dxa"/>
            <w:noWrap w:val="0"/>
            <w:vAlign w:val="center"/>
          </w:tcPr>
          <w:p w14:paraId="71A1048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sz w:val="18"/>
                <w:szCs w:val="18"/>
              </w:rPr>
            </w:pPr>
            <w:r>
              <w:rPr>
                <w:rFonts w:hint="eastAsia" w:hAnsi="宋体" w:cs="宋体"/>
                <w:sz w:val="18"/>
                <w:szCs w:val="18"/>
                <w:lang w:val="en-US" w:eastAsia="zh-CN"/>
              </w:rPr>
              <w:t>操作复现</w:t>
            </w:r>
          </w:p>
        </w:tc>
        <w:tc>
          <w:tcPr>
            <w:tcW w:w="7008" w:type="dxa"/>
            <w:noWrap w:val="0"/>
            <w:vAlign w:val="center"/>
          </w:tcPr>
          <w:p w14:paraId="1E4915A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left"/>
              <w:textAlignment w:val="auto"/>
              <w:rPr>
                <w:rFonts w:hint="eastAsia" w:hAnsi="宋体" w:cs="宋体"/>
                <w:sz w:val="18"/>
                <w:szCs w:val="18"/>
              </w:rPr>
            </w:pPr>
            <w:r>
              <w:rPr>
                <w:rFonts w:hint="eastAsia" w:hAnsi="宋体" w:cs="宋体"/>
                <w:sz w:val="18"/>
                <w:szCs w:val="18"/>
              </w:rPr>
              <w:t>管理层宏观经济认知与企业违约风险</w:t>
            </w:r>
          </w:p>
        </w:tc>
      </w:tr>
    </w:tbl>
    <w:p w14:paraId="75CFA3F1">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cs="宋体"/>
          <w:sz w:val="21"/>
          <w:szCs w:val="21"/>
          <w:lang w:val="en-US" w:eastAsia="zh-CN"/>
        </w:rPr>
      </w:pPr>
      <w:r>
        <w:rPr>
          <w:rFonts w:hint="eastAsia" w:ascii="宋体" w:hAnsi="宋体" w:eastAsia="宋体" w:cs="宋体"/>
          <w:sz w:val="21"/>
          <w:szCs w:val="21"/>
          <w:lang w:val="en-US" w:eastAsia="zh-CN"/>
        </w:rPr>
        <w:t>双向固定效应模型（Two-Way Fixed Effects Model）是一种广泛应用于面板数据分析的计量方法，通过同时控制</w:t>
      </w:r>
      <w:r>
        <w:rPr>
          <w:rFonts w:hint="default" w:ascii="宋体" w:hAnsi="宋体" w:eastAsia="宋体" w:cs="宋体"/>
          <w:sz w:val="21"/>
          <w:szCs w:val="21"/>
          <w:lang w:val="en-US" w:eastAsia="zh-CN"/>
        </w:rPr>
        <w:t>个体固定效应（如企业、地区、个人）和时间固定效应（如年份、季度），以消除不随时间变化的个体异质性和不随个体变化的宏观时间趋势，从而提高因果推断的准确性。</w:t>
      </w:r>
      <w:r>
        <w:rPr>
          <w:rFonts w:hint="eastAsia" w:ascii="宋体" w:hAnsi="宋体" w:eastAsia="宋体" w:cs="宋体"/>
          <w:sz w:val="21"/>
          <w:szCs w:val="21"/>
          <w:lang w:val="en-US" w:eastAsia="zh-CN"/>
        </w:rPr>
        <w:t>可应用于控制不可观测的异质性、因果推断中的混杂因素控制、多期双重差分（DID）的基础框架</w:t>
      </w:r>
      <w:r>
        <w:rPr>
          <w:rFonts w:hint="eastAsia" w:ascii="宋体" w:hAnsi="宋体" w:cs="宋体"/>
          <w:sz w:val="21"/>
          <w:szCs w:val="21"/>
          <w:lang w:val="en-US" w:eastAsia="zh-CN"/>
        </w:rPr>
        <w:t>、动态面板数据建模</w:t>
      </w:r>
      <w:r>
        <w:rPr>
          <w:rFonts w:hint="eastAsia" w:ascii="宋体" w:hAnsi="宋体" w:cs="宋体"/>
          <w:b w:val="0"/>
          <w:kern w:val="2"/>
          <w:sz w:val="21"/>
          <w:szCs w:val="21"/>
          <w:lang w:val="en-US" w:eastAsia="zh-CN" w:bidi="ar-SA"/>
        </w:rPr>
        <w:t>、异质性效应分析、微观实证研究</w:t>
      </w:r>
      <w:r>
        <w:rPr>
          <w:rFonts w:hint="eastAsia" w:ascii="宋体" w:hAnsi="宋体" w:cs="宋体"/>
          <w:sz w:val="21"/>
          <w:szCs w:val="21"/>
          <w:lang w:val="en-US" w:eastAsia="zh-CN"/>
        </w:rPr>
        <w:t>等</w:t>
      </w:r>
      <w:r>
        <w:rPr>
          <w:rFonts w:hint="default" w:ascii="宋体" w:hAnsi="宋体" w:eastAsia="宋体" w:cs="宋体"/>
          <w:sz w:val="21"/>
          <w:szCs w:val="21"/>
          <w:lang w:val="en-US" w:eastAsia="zh-CN"/>
        </w:rPr>
        <w:t>应用场景及相关案例</w:t>
      </w:r>
      <w:r>
        <w:rPr>
          <w:rFonts w:hint="eastAsia" w:ascii="宋体" w:hAnsi="宋体" w:cs="宋体"/>
          <w:sz w:val="21"/>
          <w:szCs w:val="21"/>
          <w:lang w:val="en-US" w:eastAsia="zh-CN"/>
        </w:rPr>
        <w:t>。</w:t>
      </w:r>
    </w:p>
    <w:p w14:paraId="0AD0186E">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lang w:val="en-US" w:eastAsia="zh-CN"/>
        </w:rPr>
      </w:pPr>
      <w:r>
        <w:rPr>
          <w:rFonts w:hint="eastAsia" w:ascii="宋体" w:hAnsi="宋体" w:eastAsia="宋体" w:cs="宋体"/>
          <w:sz w:val="21"/>
          <w:szCs w:val="21"/>
          <w:lang w:val="en-US" w:eastAsia="zh-CN"/>
        </w:rPr>
        <w:t>双向固定效应</w:t>
      </w:r>
      <w:r>
        <w:rPr>
          <w:rFonts w:hint="eastAsia" w:ascii="宋体" w:hAnsi="宋体" w:cs="宋体"/>
          <w:sz w:val="21"/>
          <w:szCs w:val="21"/>
          <w:lang w:val="en-US" w:eastAsia="zh-CN"/>
        </w:rPr>
        <w:t>模型</w:t>
      </w:r>
      <w:r>
        <w:rPr>
          <w:rFonts w:hint="eastAsia" w:ascii="宋体" w:hAnsi="宋体" w:eastAsia="宋体" w:cs="宋体"/>
          <w:sz w:val="21"/>
          <w:szCs w:val="21"/>
          <w:lang w:val="en-US" w:eastAsia="zh-CN"/>
        </w:rPr>
        <w:t>的前提条件与注意事项</w:t>
      </w:r>
      <w:r>
        <w:rPr>
          <w:rFonts w:hint="eastAsia" w:ascii="宋体" w:hAnsi="宋体" w:cs="宋体"/>
          <w:sz w:val="21"/>
          <w:szCs w:val="21"/>
          <w:lang w:val="en-US" w:eastAsia="zh-CN"/>
        </w:rPr>
        <w:t>：</w:t>
      </w:r>
    </w:p>
    <w:p w14:paraId="6629678B">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严格的外生性假设：解释变量需与误差项无关（如不存在反向因果或遗漏变量）。</w:t>
      </w:r>
    </w:p>
    <w:p w14:paraId="35610CBD">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线性关系假设：模型默认变量间为线性关系，非线性场景需谨慎。</w:t>
      </w:r>
    </w:p>
    <w:p w14:paraId="308A46AA">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固定效应与随机效应选择：若个体/时间效应与解释变量相关，需使用固定效应而非随机效应。</w:t>
      </w:r>
    </w:p>
    <w:p w14:paraId="2D7B1B1E">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样本量要求：需足够多的个体和时间维度，否则可能产生过拟合或共线性问题。</w:t>
      </w:r>
    </w:p>
    <w:p w14:paraId="131AFA71">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双向固定效应模型是面板数据分析的“瑞士军刀”，适用于需要同时剥离个体差异和时间趋势的场景，尤其在以下情况中表现突出：</w:t>
      </w:r>
    </w:p>
    <w:p w14:paraId="49B559BF">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数据存在不可观测的个体/时间异质性；</w:t>
      </w:r>
    </w:p>
    <w:p w14:paraId="141CFD68">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需进行因果推断但无法随机分组（如政策评估、社会科学实证）；</w:t>
      </w:r>
    </w:p>
    <w:p w14:paraId="26AAC329">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研究动态效应或异质性影响。</w:t>
      </w:r>
    </w:p>
    <w:p w14:paraId="7FEC01D8">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案例内容</w:t>
      </w:r>
    </w:p>
    <w:p w14:paraId="1973DC75">
      <w:pPr>
        <w:pageBreakBefore w:val="0"/>
        <w:widowControl w:val="0"/>
        <w:tabs>
          <w:tab w:val="left" w:pos="1320"/>
        </w:tabs>
        <w:kinsoku/>
        <w:wordWrap/>
        <w:overflowPunct/>
        <w:topLinePunct w:val="0"/>
        <w:autoSpaceDE/>
        <w:autoSpaceDN/>
        <w:bidi w:val="0"/>
        <w:adjustRightInd w:val="0"/>
        <w:snapToGrid w:val="0"/>
        <w:spacing w:beforeAutospacing="0" w:afterAutospacing="0" w:line="360" w:lineRule="auto"/>
        <w:ind w:right="0" w:firstLine="0" w:firstLineChars="0"/>
        <w:jc w:val="center"/>
        <w:textAlignment w:val="auto"/>
        <w:rPr>
          <w:rFonts w:hint="eastAsia" w:ascii="宋体" w:hAnsi="宋体" w:eastAsia="宋体" w:cs="宋体"/>
          <w:sz w:val="18"/>
          <w:szCs w:val="18"/>
          <w:lang w:val="en-US" w:eastAsia="zh-CN" w:bidi="ar"/>
        </w:rPr>
      </w:pPr>
      <w:r>
        <w:rPr>
          <w:rFonts w:hint="eastAsia" w:ascii="宋体" w:hAnsi="宋体" w:eastAsia="宋体" w:cs="宋体"/>
          <w:sz w:val="18"/>
          <w:szCs w:val="18"/>
          <w:lang w:bidi="ar"/>
        </w:rPr>
        <w:t>表</w:t>
      </w:r>
      <w:r>
        <w:rPr>
          <w:rFonts w:hint="eastAsia" w:ascii="宋体" w:hAnsi="宋体" w:cs="宋体"/>
          <w:sz w:val="18"/>
          <w:szCs w:val="18"/>
          <w:lang w:val="en-US" w:eastAsia="zh-CN" w:bidi="ar"/>
        </w:rPr>
        <w:t>2</w:t>
      </w:r>
      <w:r>
        <w:rPr>
          <w:rFonts w:hint="eastAsia" w:ascii="宋体" w:hAnsi="宋体" w:eastAsia="宋体" w:cs="宋体"/>
          <w:sz w:val="18"/>
          <w:szCs w:val="18"/>
          <w:lang w:bidi="ar"/>
        </w:rPr>
        <w:t xml:space="preserve"> 双向固定效应模型（</w:t>
      </w:r>
      <w:r>
        <w:rPr>
          <w:rFonts w:hint="eastAsia" w:ascii="宋体" w:hAnsi="宋体" w:cs="宋体"/>
          <w:sz w:val="18"/>
          <w:szCs w:val="18"/>
          <w:lang w:eastAsia="zh-CN" w:bidi="ar"/>
        </w:rPr>
        <w:t>管理层宏观经济认知与企业违约风险</w:t>
      </w:r>
      <w:r>
        <w:rPr>
          <w:rFonts w:hint="eastAsia" w:ascii="宋体" w:hAnsi="宋体" w:eastAsia="宋体" w:cs="宋体"/>
          <w:sz w:val="18"/>
          <w:szCs w:val="18"/>
          <w:lang w:bidi="ar"/>
        </w:rPr>
        <w:t>）</w:t>
      </w:r>
    </w:p>
    <w:tbl>
      <w:tblPr>
        <w:tblStyle w:val="18"/>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1FE3AE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095" w:type="dxa"/>
            <w:shd w:val="clear" w:color="auto" w:fill="E6E6E6"/>
            <w:noWrap w:val="0"/>
            <w:vAlign w:val="center"/>
          </w:tcPr>
          <w:p w14:paraId="40E345D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一级模块</w:t>
            </w:r>
          </w:p>
        </w:tc>
        <w:tc>
          <w:tcPr>
            <w:tcW w:w="1240" w:type="dxa"/>
            <w:shd w:val="clear" w:color="auto" w:fill="E6E6E6"/>
            <w:noWrap w:val="0"/>
            <w:vAlign w:val="center"/>
          </w:tcPr>
          <w:p w14:paraId="45687B9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二级模块</w:t>
            </w:r>
          </w:p>
        </w:tc>
        <w:tc>
          <w:tcPr>
            <w:tcW w:w="5058" w:type="dxa"/>
            <w:shd w:val="clear" w:color="auto" w:fill="E6E6E6"/>
            <w:noWrap w:val="0"/>
            <w:vAlign w:val="center"/>
          </w:tcPr>
          <w:p w14:paraId="2BEEC1A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实验项目名称</w:t>
            </w:r>
          </w:p>
        </w:tc>
        <w:tc>
          <w:tcPr>
            <w:tcW w:w="1356" w:type="dxa"/>
            <w:shd w:val="clear" w:color="auto" w:fill="E6E6E6"/>
            <w:noWrap w:val="0"/>
            <w:vAlign w:val="center"/>
          </w:tcPr>
          <w:p w14:paraId="3EE7B93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涉及平台</w:t>
            </w:r>
          </w:p>
        </w:tc>
      </w:tr>
      <w:tr w14:paraId="33A10B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restart"/>
            <w:noWrap w:val="0"/>
            <w:vAlign w:val="center"/>
          </w:tcPr>
          <w:p w14:paraId="58CEF55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p w14:paraId="6ED2FFE9">
            <w:pPr>
              <w:pageBreakBefore w:val="0"/>
              <w:widowControl w:val="0"/>
              <w:tabs>
                <w:tab w:val="left" w:pos="1320"/>
              </w:tabs>
              <w:kinsoku/>
              <w:wordWrap/>
              <w:overflowPunct/>
              <w:topLinePunct w:val="0"/>
              <w:autoSpaceDE/>
              <w:autoSpaceDN/>
              <w:bidi w:val="0"/>
              <w:adjustRightInd w:val="0"/>
              <w:snapToGrid w:val="0"/>
              <w:spacing w:beforeAutospacing="0" w:afterAutospacing="0" w:line="360" w:lineRule="auto"/>
              <w:ind w:right="0" w:firstLine="0" w:firstLineChars="0"/>
              <w:jc w:val="center"/>
              <w:textAlignment w:val="auto"/>
              <w:rPr>
                <w:rFonts w:hint="eastAsia" w:ascii="宋体" w:hAnsi="宋体" w:eastAsia="宋体" w:cs="宋体"/>
                <w:sz w:val="18"/>
                <w:szCs w:val="18"/>
                <w:lang w:val="en-US" w:eastAsia="zh-CN" w:bidi="ar"/>
              </w:rPr>
            </w:pPr>
            <w:r>
              <w:rPr>
                <w:rFonts w:hint="eastAsia" w:ascii="宋体" w:hAnsi="宋体" w:eastAsia="宋体" w:cs="宋体"/>
                <w:sz w:val="18"/>
                <w:szCs w:val="18"/>
                <w:lang w:bidi="ar"/>
              </w:rPr>
              <w:t>双向固定效应模型（</w:t>
            </w:r>
            <w:r>
              <w:rPr>
                <w:rFonts w:hint="eastAsia" w:ascii="宋体" w:hAnsi="宋体" w:cs="宋体"/>
                <w:sz w:val="18"/>
                <w:szCs w:val="18"/>
                <w:lang w:eastAsia="zh-CN" w:bidi="ar"/>
              </w:rPr>
              <w:t>管理层宏观经济认知与企业违约风险</w:t>
            </w:r>
            <w:r>
              <w:rPr>
                <w:rFonts w:hint="eastAsia" w:ascii="宋体" w:hAnsi="宋体" w:eastAsia="宋体" w:cs="宋体"/>
                <w:sz w:val="18"/>
                <w:szCs w:val="18"/>
                <w:lang w:bidi="ar"/>
              </w:rPr>
              <w:t>）</w:t>
            </w:r>
          </w:p>
          <w:p w14:paraId="08DF6C4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p w14:paraId="301EA08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7DCB406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实验准备</w:t>
            </w:r>
          </w:p>
        </w:tc>
        <w:tc>
          <w:tcPr>
            <w:tcW w:w="5058" w:type="dxa"/>
            <w:noWrap w:val="0"/>
            <w:vAlign w:val="center"/>
          </w:tcPr>
          <w:p w14:paraId="12DDC65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textAlignment w:val="auto"/>
              <w:rPr>
                <w:rFonts w:hint="eastAsia" w:ascii="宋体" w:hAnsi="宋体" w:eastAsia="宋体" w:cs="宋体"/>
                <w:color w:val="FF0000"/>
                <w:spacing w:val="10"/>
                <w:sz w:val="18"/>
                <w:szCs w:val="18"/>
                <w:lang w:val="en-US" w:eastAsia="zh-CN"/>
              </w:rPr>
            </w:pPr>
            <w:r>
              <w:rPr>
                <w:rFonts w:hint="eastAsia" w:ascii="宋体" w:hAnsi="宋体" w:eastAsia="宋体" w:cs="宋体"/>
                <w:sz w:val="18"/>
                <w:szCs w:val="18"/>
                <w:lang w:val="en-US" w:eastAsia="zh-CN"/>
              </w:rPr>
              <w:t>打开并登录平台学习案例相关理论知识</w:t>
            </w:r>
          </w:p>
        </w:tc>
        <w:tc>
          <w:tcPr>
            <w:tcW w:w="1356" w:type="dxa"/>
            <w:vMerge w:val="restart"/>
            <w:noWrap w:val="0"/>
            <w:vAlign w:val="center"/>
          </w:tcPr>
          <w:p w14:paraId="6C71104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lang w:eastAsia="zh-CN"/>
              </w:rPr>
            </w:pPr>
            <w:r>
              <w:rPr>
                <w:rFonts w:hint="eastAsia" w:hAnsi="宋体" w:cs="宋体"/>
                <w:sz w:val="18"/>
                <w:szCs w:val="18"/>
                <w:lang w:eastAsia="zh-CN"/>
              </w:rPr>
              <w:t>AI金融计量教学平台</w:t>
            </w:r>
          </w:p>
        </w:tc>
      </w:tr>
      <w:tr w14:paraId="317E3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46697E6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1759854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center"/>
          </w:tcPr>
          <w:p w14:paraId="105DAA1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textAlignment w:val="auto"/>
              <w:rPr>
                <w:rFonts w:hint="eastAsia" w:ascii="宋体" w:hAnsi="宋体" w:eastAsia="宋体" w:cs="宋体"/>
                <w:color w:val="FF0000"/>
                <w:spacing w:val="10"/>
                <w:sz w:val="18"/>
                <w:szCs w:val="18"/>
                <w:lang w:val="en-US" w:eastAsia="zh-CN"/>
              </w:rPr>
            </w:pPr>
            <w:r>
              <w:rPr>
                <w:rFonts w:hint="eastAsia" w:ascii="宋体" w:hAnsi="宋体" w:eastAsia="宋体" w:cs="宋体"/>
                <w:sz w:val="18"/>
                <w:szCs w:val="18"/>
                <w:lang w:val="en-US" w:eastAsia="zh-CN"/>
              </w:rPr>
              <w:t>准备案例相关数据</w:t>
            </w:r>
          </w:p>
        </w:tc>
        <w:tc>
          <w:tcPr>
            <w:tcW w:w="1356" w:type="dxa"/>
            <w:vMerge w:val="continue"/>
            <w:noWrap w:val="0"/>
            <w:vAlign w:val="center"/>
          </w:tcPr>
          <w:p w14:paraId="04A99EE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pacing w:val="10"/>
                <w:sz w:val="18"/>
                <w:szCs w:val="18"/>
              </w:rPr>
            </w:pPr>
          </w:p>
        </w:tc>
      </w:tr>
      <w:tr w14:paraId="41BBF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6C3DEA4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0A5F2A3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center"/>
          </w:tcPr>
          <w:p w14:paraId="3D7AEF9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textAlignment w:val="auto"/>
              <w:rPr>
                <w:rFonts w:hint="eastAsia" w:ascii="宋体" w:hAnsi="宋体" w:eastAsia="宋体" w:cs="宋体"/>
                <w:color w:val="FF0000"/>
                <w:spacing w:val="10"/>
                <w:sz w:val="18"/>
                <w:szCs w:val="18"/>
                <w:lang w:val="en-US" w:eastAsia="zh-CN"/>
              </w:rPr>
            </w:pPr>
            <w:r>
              <w:rPr>
                <w:rFonts w:hint="eastAsia" w:ascii="宋体" w:hAnsi="宋体" w:eastAsia="宋体" w:cs="宋体"/>
                <w:sz w:val="18"/>
                <w:szCs w:val="18"/>
                <w:lang w:val="en-US" w:eastAsia="zh-CN"/>
              </w:rPr>
              <w:t>准备仿写文档</w:t>
            </w:r>
          </w:p>
        </w:tc>
        <w:tc>
          <w:tcPr>
            <w:tcW w:w="1356" w:type="dxa"/>
            <w:vMerge w:val="continue"/>
            <w:noWrap w:val="0"/>
            <w:vAlign w:val="center"/>
          </w:tcPr>
          <w:p w14:paraId="3CFA1C8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pacing w:val="10"/>
                <w:sz w:val="18"/>
                <w:szCs w:val="18"/>
              </w:rPr>
            </w:pPr>
          </w:p>
        </w:tc>
      </w:tr>
      <w:tr w14:paraId="1EF70A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1C15B3D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735A178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rPr>
              <w:t>实施</w:t>
            </w:r>
            <w:r>
              <w:rPr>
                <w:rFonts w:hint="eastAsia" w:hAnsi="宋体" w:cs="宋体"/>
                <w:sz w:val="18"/>
                <w:szCs w:val="18"/>
                <w:lang w:val="en-US" w:eastAsia="zh-CN"/>
              </w:rPr>
              <w:t>步骤</w:t>
            </w:r>
          </w:p>
        </w:tc>
        <w:tc>
          <w:tcPr>
            <w:tcW w:w="5058" w:type="dxa"/>
            <w:noWrap w:val="0"/>
            <w:vAlign w:val="center"/>
          </w:tcPr>
          <w:p w14:paraId="68AAA78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研究设计</w:t>
            </w:r>
          </w:p>
        </w:tc>
        <w:tc>
          <w:tcPr>
            <w:tcW w:w="1356" w:type="dxa"/>
            <w:vMerge w:val="continue"/>
            <w:noWrap w:val="0"/>
            <w:vAlign w:val="center"/>
          </w:tcPr>
          <w:p w14:paraId="5AF90E4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3299D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1A5E5D8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4C75638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2B62CFD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对管理层宏观经济认知、产权性质与企业违约风险—实证与解读</w:t>
            </w:r>
          </w:p>
        </w:tc>
        <w:tc>
          <w:tcPr>
            <w:tcW w:w="1356" w:type="dxa"/>
            <w:vMerge w:val="continue"/>
            <w:noWrap w:val="0"/>
            <w:vAlign w:val="center"/>
          </w:tcPr>
          <w:p w14:paraId="24F0EFB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5C36A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2CDEC58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3B6CB8E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6AE1E25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b w:val="0"/>
                <w:kern w:val="2"/>
                <w:sz w:val="18"/>
                <w:szCs w:val="18"/>
                <w:lang w:val="en-US" w:eastAsia="zh-CN" w:bidi="ar"/>
              </w:rPr>
            </w:pPr>
            <w:r>
              <w:rPr>
                <w:rFonts w:hint="eastAsia" w:ascii="宋体" w:hAnsi="宋体" w:eastAsia="宋体" w:cs="宋体"/>
                <w:b w:val="0"/>
                <w:kern w:val="2"/>
                <w:sz w:val="18"/>
                <w:szCs w:val="18"/>
                <w:lang w:val="en-US" w:eastAsia="zh-CN" w:bidi="ar"/>
              </w:rPr>
              <w:t>内生性处理一：工具变量法</w:t>
            </w:r>
          </w:p>
        </w:tc>
        <w:tc>
          <w:tcPr>
            <w:tcW w:w="1356" w:type="dxa"/>
            <w:vMerge w:val="continue"/>
            <w:noWrap w:val="0"/>
            <w:vAlign w:val="center"/>
          </w:tcPr>
          <w:p w14:paraId="582FB30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196CC4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2D3C1FF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156E50A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3E7CF4E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内生性处理二：倾向得分匹配检验</w:t>
            </w:r>
          </w:p>
        </w:tc>
        <w:tc>
          <w:tcPr>
            <w:tcW w:w="1356" w:type="dxa"/>
            <w:vMerge w:val="continue"/>
            <w:noWrap w:val="0"/>
            <w:vAlign w:val="center"/>
          </w:tcPr>
          <w:p w14:paraId="6D01ADE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6E01C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6BDFF95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132C49A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3876A68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替换被解释变量，会否影响回归结果</w:t>
            </w:r>
          </w:p>
        </w:tc>
        <w:tc>
          <w:tcPr>
            <w:tcW w:w="1356" w:type="dxa"/>
            <w:vMerge w:val="continue"/>
            <w:noWrap w:val="0"/>
            <w:vAlign w:val="center"/>
          </w:tcPr>
          <w:p w14:paraId="310AA6B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7C89D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06D3900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563FCB0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143C6CE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回归方法替换为Tobit模型，会否影响回归结果</w:t>
            </w:r>
          </w:p>
        </w:tc>
        <w:tc>
          <w:tcPr>
            <w:tcW w:w="1356" w:type="dxa"/>
            <w:vMerge w:val="continue"/>
            <w:noWrap w:val="0"/>
            <w:vAlign w:val="center"/>
          </w:tcPr>
          <w:p w14:paraId="18E1ED8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6A00A7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736DDD4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687D2D4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5607DA6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所有控制变量滞后一期，会否影响回归结果</w:t>
            </w:r>
          </w:p>
        </w:tc>
        <w:tc>
          <w:tcPr>
            <w:tcW w:w="1356" w:type="dxa"/>
            <w:vMerge w:val="continue"/>
            <w:noWrap w:val="0"/>
            <w:vAlign w:val="center"/>
          </w:tcPr>
          <w:p w14:paraId="34128FF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35E013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1B20265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5DAFF49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421CFD1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作用渠道检验（即作用机制：中介效应）</w:t>
            </w:r>
          </w:p>
        </w:tc>
        <w:tc>
          <w:tcPr>
            <w:tcW w:w="1356" w:type="dxa"/>
            <w:vMerge w:val="continue"/>
            <w:noWrap w:val="0"/>
            <w:vAlign w:val="center"/>
          </w:tcPr>
          <w:p w14:paraId="56D4510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2C910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66FB521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570F773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3BDB9C7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异质性检验</w:t>
            </w:r>
          </w:p>
        </w:tc>
        <w:tc>
          <w:tcPr>
            <w:tcW w:w="1356" w:type="dxa"/>
            <w:vMerge w:val="continue"/>
            <w:noWrap w:val="0"/>
            <w:vAlign w:val="center"/>
          </w:tcPr>
          <w:p w14:paraId="1BA19B6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4A925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5009DDA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0EA74F7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r>
              <w:rPr>
                <w:rFonts w:hint="eastAsia" w:ascii="宋体" w:hAnsi="宋体" w:eastAsia="宋体" w:cs="宋体"/>
                <w:sz w:val="18"/>
                <w:szCs w:val="18"/>
              </w:rPr>
              <w:t>实验总结</w:t>
            </w:r>
          </w:p>
        </w:tc>
        <w:tc>
          <w:tcPr>
            <w:tcW w:w="5058" w:type="dxa"/>
            <w:noWrap w:val="0"/>
            <w:vAlign w:val="center"/>
          </w:tcPr>
          <w:p w14:paraId="21686D7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hAnsi="宋体" w:cs="宋体"/>
                <w:spacing w:val="10"/>
                <w:sz w:val="18"/>
                <w:szCs w:val="18"/>
                <w:lang w:val="en-US" w:eastAsia="zh-CN"/>
              </w:rPr>
              <w:t>复现</w:t>
            </w:r>
            <w:r>
              <w:rPr>
                <w:rFonts w:hint="eastAsia" w:ascii="宋体" w:hAnsi="宋体" w:eastAsia="宋体" w:cs="宋体"/>
                <w:spacing w:val="10"/>
                <w:sz w:val="18"/>
                <w:szCs w:val="18"/>
                <w:lang w:val="en-US" w:eastAsia="zh-CN"/>
              </w:rPr>
              <w:t>完整案例及模型方法</w:t>
            </w:r>
          </w:p>
        </w:tc>
        <w:tc>
          <w:tcPr>
            <w:tcW w:w="1356" w:type="dxa"/>
            <w:vMerge w:val="continue"/>
            <w:noWrap w:val="0"/>
            <w:vAlign w:val="center"/>
          </w:tcPr>
          <w:p w14:paraId="75537B9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44BB8A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4F5FECF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36E7767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625AE0E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hAnsi="宋体" w:cs="宋体"/>
                <w:spacing w:val="10"/>
                <w:sz w:val="18"/>
                <w:szCs w:val="18"/>
                <w:lang w:val="en-US" w:eastAsia="zh-CN"/>
              </w:rPr>
            </w:pPr>
            <w:r>
              <w:rPr>
                <w:rFonts w:hint="eastAsia" w:hAnsi="宋体" w:cs="宋体"/>
                <w:spacing w:val="10"/>
                <w:sz w:val="18"/>
                <w:szCs w:val="18"/>
                <w:lang w:val="en-US" w:eastAsia="zh-CN"/>
              </w:rPr>
              <w:t>总结</w:t>
            </w:r>
            <w:r>
              <w:rPr>
                <w:rFonts w:hint="eastAsia" w:ascii="宋体" w:hAnsi="宋体" w:eastAsia="宋体" w:cs="宋体"/>
                <w:sz w:val="18"/>
                <w:szCs w:val="18"/>
                <w:lang w:bidi="ar"/>
              </w:rPr>
              <w:t>双向固定效应模型</w:t>
            </w:r>
            <w:r>
              <w:rPr>
                <w:rFonts w:hint="eastAsia" w:ascii="宋体" w:hAnsi="宋体" w:eastAsia="宋体" w:cs="宋体"/>
                <w:spacing w:val="10"/>
                <w:sz w:val="18"/>
                <w:szCs w:val="18"/>
                <w:lang w:val="en-US" w:eastAsia="zh-CN"/>
              </w:rPr>
              <w:t>建模技巧与论文写作技巧</w:t>
            </w:r>
          </w:p>
        </w:tc>
        <w:tc>
          <w:tcPr>
            <w:tcW w:w="1356" w:type="dxa"/>
            <w:vMerge w:val="continue"/>
            <w:noWrap w:val="0"/>
            <w:vAlign w:val="center"/>
          </w:tcPr>
          <w:p w14:paraId="403CE2F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bl>
    <w:p w14:paraId="286AC922">
      <w:pPr>
        <w:pStyle w:val="6"/>
        <w:keepNext/>
        <w:keepLines/>
        <w:pageBreakBefore w:val="0"/>
        <w:widowControl w:val="0"/>
        <w:numPr>
          <w:ilvl w:val="1"/>
          <w:numId w:val="16"/>
        </w:numPr>
        <w:tabs>
          <w:tab w:val="left" w:pos="1320"/>
        </w:tabs>
        <w:kinsoku/>
        <w:wordWrap/>
        <w:overflowPunct/>
        <w:topLinePunct w:val="0"/>
        <w:autoSpaceDE/>
        <w:autoSpaceDN/>
        <w:bidi w:val="0"/>
        <w:adjustRightInd w:val="0"/>
        <w:snapToGrid w:val="0"/>
        <w:spacing w:beforeAutospacing="0" w:afterAutospacing="0" w:line="360" w:lineRule="auto"/>
        <w:ind w:left="0" w:right="0" w:firstLine="422" w:firstLineChars="200"/>
        <w:textAlignment w:val="auto"/>
        <w:outlineLvl w:val="2"/>
        <w:rPr>
          <w:rFonts w:hint="eastAsia" w:ascii="宋体" w:hAnsi="宋体" w:eastAsia="宋体" w:cs="宋体"/>
          <w:b/>
          <w:sz w:val="21"/>
          <w:szCs w:val="21"/>
          <w:lang w:val="en-US" w:eastAsia="zh-CN"/>
        </w:rPr>
      </w:pPr>
      <w:bookmarkStart w:id="48" w:name="_Toc32399"/>
      <w:r>
        <w:rPr>
          <w:rFonts w:hint="eastAsia" w:ascii="宋体" w:hAnsi="宋体" w:eastAsia="宋体" w:cs="宋体"/>
          <w:b/>
          <w:sz w:val="21"/>
          <w:szCs w:val="21"/>
          <w:lang w:val="en-US" w:eastAsia="zh-CN"/>
        </w:rPr>
        <w:t>双向固定效应模型(管理层预期能否反映公司战略导向：基于行为经济学的研究)</w:t>
      </w:r>
      <w:bookmarkEnd w:id="48"/>
    </w:p>
    <w:p w14:paraId="3635CC83">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案例概述</w:t>
      </w:r>
    </w:p>
    <w:p w14:paraId="53D46F28">
      <w:pPr>
        <w:pageBreakBefore w:val="0"/>
        <w:widowControl w:val="0"/>
        <w:kinsoku/>
        <w:wordWrap/>
        <w:overflowPunct/>
        <w:topLinePunct w:val="0"/>
        <w:autoSpaceDE/>
        <w:autoSpaceDN/>
        <w:bidi w:val="0"/>
        <w:adjustRightInd w:val="0"/>
        <w:snapToGrid w:val="0"/>
        <w:spacing w:beforeAutospacing="0" w:afterAutospacing="0" w:line="360" w:lineRule="auto"/>
        <w:ind w:right="0" w:firstLine="360"/>
        <w:jc w:val="center"/>
        <w:textAlignment w:val="auto"/>
        <w:rPr>
          <w:rFonts w:hint="eastAsia" w:ascii="宋体" w:hAnsi="宋体" w:eastAsia="宋体" w:cs="宋体"/>
          <w:sz w:val="18"/>
          <w:szCs w:val="18"/>
          <w:lang w:val="en-US" w:eastAsia="zh-CN" w:bidi="ar"/>
        </w:rPr>
      </w:pPr>
      <w:r>
        <w:rPr>
          <w:rFonts w:hint="eastAsia" w:ascii="宋体" w:hAnsi="宋体" w:eastAsia="宋体" w:cs="宋体"/>
          <w:sz w:val="18"/>
          <w:szCs w:val="18"/>
          <w:lang w:bidi="ar"/>
        </w:rPr>
        <w:t>表</w:t>
      </w:r>
      <w:r>
        <w:rPr>
          <w:rFonts w:hint="eastAsia" w:ascii="宋体" w:hAnsi="宋体" w:cs="宋体"/>
          <w:sz w:val="18"/>
          <w:szCs w:val="18"/>
          <w:lang w:val="en-US" w:eastAsia="zh-CN" w:bidi="ar"/>
        </w:rPr>
        <w:t>3</w:t>
      </w:r>
      <w:r>
        <w:rPr>
          <w:rFonts w:hint="eastAsia" w:ascii="宋体" w:hAnsi="宋体" w:eastAsia="宋体" w:cs="宋体"/>
          <w:sz w:val="18"/>
          <w:szCs w:val="18"/>
          <w:lang w:bidi="ar"/>
        </w:rPr>
        <w:t xml:space="preserve"> 案例</w:t>
      </w:r>
      <w:r>
        <w:rPr>
          <w:rFonts w:hint="eastAsia" w:ascii="宋体" w:hAnsi="宋体" w:eastAsia="宋体" w:cs="宋体"/>
          <w:sz w:val="18"/>
          <w:szCs w:val="18"/>
          <w:lang w:val="en-US" w:eastAsia="zh-CN" w:bidi="ar"/>
        </w:rPr>
        <w:t>概述</w:t>
      </w:r>
    </w:p>
    <w:tbl>
      <w:tblPr>
        <w:tblStyle w:val="39"/>
        <w:tblW w:w="5012"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34"/>
        <w:gridCol w:w="7008"/>
      </w:tblGrid>
      <w:tr w14:paraId="160E41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1534" w:type="dxa"/>
            <w:noWrap w:val="0"/>
            <w:vAlign w:val="center"/>
          </w:tcPr>
          <w:p w14:paraId="30A5281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b/>
                <w:bCs/>
                <w:sz w:val="18"/>
                <w:szCs w:val="18"/>
              </w:rPr>
            </w:pPr>
            <w:r>
              <w:rPr>
                <w:rFonts w:hint="eastAsia" w:hAnsi="宋体" w:cs="宋体"/>
                <w:b/>
                <w:bCs/>
                <w:sz w:val="18"/>
                <w:szCs w:val="18"/>
              </w:rPr>
              <w:t>模块</w:t>
            </w:r>
          </w:p>
        </w:tc>
        <w:tc>
          <w:tcPr>
            <w:tcW w:w="7008" w:type="dxa"/>
            <w:noWrap w:val="0"/>
            <w:vAlign w:val="center"/>
          </w:tcPr>
          <w:p w14:paraId="5B40610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b/>
                <w:bCs/>
                <w:sz w:val="18"/>
                <w:szCs w:val="18"/>
              </w:rPr>
            </w:pPr>
            <w:r>
              <w:rPr>
                <w:rFonts w:hint="eastAsia" w:hAnsi="宋体" w:cs="宋体"/>
                <w:b/>
                <w:bCs/>
                <w:sz w:val="18"/>
                <w:szCs w:val="18"/>
              </w:rPr>
              <w:t>模块内容</w:t>
            </w:r>
          </w:p>
        </w:tc>
      </w:tr>
      <w:tr w14:paraId="567C129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34" w:type="dxa"/>
            <w:noWrap w:val="0"/>
            <w:vAlign w:val="center"/>
          </w:tcPr>
          <w:p w14:paraId="239BA97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sz w:val="18"/>
                <w:szCs w:val="18"/>
              </w:rPr>
            </w:pPr>
            <w:r>
              <w:rPr>
                <w:rFonts w:hint="eastAsia" w:hAnsi="宋体" w:cs="宋体"/>
                <w:sz w:val="18"/>
                <w:szCs w:val="18"/>
              </w:rPr>
              <w:t>课时设置</w:t>
            </w:r>
          </w:p>
        </w:tc>
        <w:tc>
          <w:tcPr>
            <w:tcW w:w="7008" w:type="dxa"/>
            <w:noWrap w:val="0"/>
            <w:vAlign w:val="center"/>
          </w:tcPr>
          <w:p w14:paraId="091C20A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both"/>
              <w:textAlignment w:val="auto"/>
              <w:rPr>
                <w:rFonts w:hint="eastAsia" w:hAnsi="宋体" w:cs="宋体"/>
                <w:sz w:val="18"/>
                <w:szCs w:val="18"/>
              </w:rPr>
            </w:pPr>
            <w:r>
              <w:rPr>
                <w:rFonts w:hint="eastAsia" w:hAnsi="宋体" w:cs="宋体"/>
                <w:sz w:val="18"/>
                <w:szCs w:val="18"/>
              </w:rPr>
              <w:t>理论教学4学时，实践教学4学时，总计8学时。</w:t>
            </w:r>
          </w:p>
        </w:tc>
      </w:tr>
      <w:tr w14:paraId="141C35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1534" w:type="dxa"/>
            <w:noWrap w:val="0"/>
            <w:vAlign w:val="center"/>
          </w:tcPr>
          <w:p w14:paraId="3942920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sz w:val="18"/>
                <w:szCs w:val="18"/>
              </w:rPr>
            </w:pPr>
            <w:r>
              <w:rPr>
                <w:rFonts w:hint="eastAsia" w:hAnsi="宋体" w:cs="宋体"/>
                <w:sz w:val="18"/>
                <w:szCs w:val="18"/>
              </w:rPr>
              <w:t>案例资源</w:t>
            </w:r>
          </w:p>
        </w:tc>
        <w:tc>
          <w:tcPr>
            <w:tcW w:w="7008" w:type="dxa"/>
            <w:noWrap w:val="0"/>
            <w:vAlign w:val="center"/>
          </w:tcPr>
          <w:p w14:paraId="24A1BD0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left"/>
              <w:textAlignment w:val="auto"/>
              <w:rPr>
                <w:rFonts w:hint="eastAsia" w:hAnsi="宋体" w:cs="宋体"/>
                <w:sz w:val="18"/>
                <w:szCs w:val="18"/>
              </w:rPr>
            </w:pPr>
            <w:r>
              <w:rPr>
                <w:rFonts w:hint="eastAsia" w:hAnsi="宋体" w:cs="宋体"/>
                <w:sz w:val="18"/>
                <w:szCs w:val="18"/>
              </w:rPr>
              <w:t>包含</w:t>
            </w:r>
            <w:r>
              <w:rPr>
                <w:rFonts w:hint="eastAsia" w:hAnsi="宋体" w:cs="宋体"/>
                <w:sz w:val="18"/>
                <w:szCs w:val="18"/>
                <w:lang w:val="en-US" w:eastAsia="zh-CN"/>
              </w:rPr>
              <w:t>10</w:t>
            </w:r>
            <w:r>
              <w:rPr>
                <w:rFonts w:hint="eastAsia" w:hAnsi="宋体" w:cs="宋体"/>
                <w:sz w:val="18"/>
                <w:szCs w:val="18"/>
              </w:rPr>
              <w:t>份实训指导书、</w:t>
            </w:r>
            <w:r>
              <w:rPr>
                <w:rFonts w:hint="eastAsia" w:hAnsi="宋体" w:cs="宋体"/>
                <w:sz w:val="18"/>
                <w:szCs w:val="18"/>
                <w:lang w:val="en-US" w:eastAsia="zh-CN"/>
              </w:rPr>
              <w:t>1</w:t>
            </w:r>
            <w:r>
              <w:rPr>
                <w:rFonts w:hint="eastAsia" w:hAnsi="宋体" w:cs="宋体"/>
                <w:sz w:val="18"/>
                <w:szCs w:val="18"/>
              </w:rPr>
              <w:t>个案例视频、</w:t>
            </w:r>
            <w:r>
              <w:rPr>
                <w:rFonts w:hint="eastAsia" w:hAnsi="宋体" w:cs="宋体"/>
                <w:sz w:val="18"/>
                <w:szCs w:val="18"/>
                <w:lang w:val="en-US" w:eastAsia="zh-CN"/>
              </w:rPr>
              <w:t>1</w:t>
            </w:r>
            <w:r>
              <w:rPr>
                <w:rFonts w:hint="eastAsia" w:hAnsi="宋体" w:cs="宋体"/>
                <w:sz w:val="18"/>
                <w:szCs w:val="18"/>
              </w:rPr>
              <w:t>份数据</w:t>
            </w:r>
            <w:r>
              <w:rPr>
                <w:rFonts w:hint="eastAsia" w:hAnsi="宋体" w:cs="宋体"/>
                <w:sz w:val="18"/>
                <w:szCs w:val="18"/>
                <w:lang w:eastAsia="zh-CN"/>
              </w:rPr>
              <w:t>、</w:t>
            </w:r>
            <w:r>
              <w:rPr>
                <w:rFonts w:hint="eastAsia" w:hAnsi="宋体" w:cs="宋体"/>
                <w:sz w:val="18"/>
                <w:szCs w:val="18"/>
                <w:lang w:val="en-US" w:eastAsia="zh-CN"/>
              </w:rPr>
              <w:t>1份论文仿写设计报告模板</w:t>
            </w:r>
            <w:r>
              <w:rPr>
                <w:rFonts w:hint="eastAsia" w:hAnsi="宋体" w:cs="宋体"/>
                <w:sz w:val="18"/>
                <w:szCs w:val="18"/>
              </w:rPr>
              <w:t>。</w:t>
            </w:r>
          </w:p>
        </w:tc>
      </w:tr>
      <w:tr w14:paraId="0884B2F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34" w:type="dxa"/>
            <w:noWrap w:val="0"/>
            <w:vAlign w:val="center"/>
          </w:tcPr>
          <w:p w14:paraId="693F83D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sz w:val="18"/>
                <w:szCs w:val="18"/>
              </w:rPr>
            </w:pPr>
            <w:r>
              <w:rPr>
                <w:rFonts w:hint="eastAsia" w:hAnsi="宋体" w:cs="宋体"/>
                <w:sz w:val="18"/>
                <w:szCs w:val="18"/>
              </w:rPr>
              <w:t>技能点</w:t>
            </w:r>
          </w:p>
        </w:tc>
        <w:tc>
          <w:tcPr>
            <w:tcW w:w="7008" w:type="dxa"/>
            <w:noWrap w:val="0"/>
            <w:vAlign w:val="center"/>
          </w:tcPr>
          <w:p w14:paraId="4407E2B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left"/>
              <w:textAlignment w:val="auto"/>
              <w:rPr>
                <w:rFonts w:hint="eastAsia" w:hAnsi="宋体" w:cs="宋体"/>
                <w:sz w:val="18"/>
                <w:szCs w:val="18"/>
              </w:rPr>
            </w:pPr>
            <w:r>
              <w:rPr>
                <w:rFonts w:hint="eastAsia" w:hAnsi="宋体" w:cs="宋体"/>
                <w:sz w:val="18"/>
                <w:szCs w:val="18"/>
                <w:lang w:val="en-US" w:eastAsia="zh-CN"/>
              </w:rPr>
              <w:t>高效掌握双向固定效应模型建模技巧与论文写作技巧</w:t>
            </w:r>
          </w:p>
        </w:tc>
      </w:tr>
      <w:tr w14:paraId="640777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2" w:hRule="atLeast"/>
          <w:jc w:val="center"/>
        </w:trPr>
        <w:tc>
          <w:tcPr>
            <w:tcW w:w="1534" w:type="dxa"/>
            <w:noWrap w:val="0"/>
            <w:vAlign w:val="center"/>
          </w:tcPr>
          <w:p w14:paraId="6A8539F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sz w:val="18"/>
                <w:szCs w:val="18"/>
              </w:rPr>
            </w:pPr>
            <w:r>
              <w:rPr>
                <w:rFonts w:hint="eastAsia" w:hAnsi="宋体" w:cs="宋体"/>
                <w:sz w:val="18"/>
                <w:szCs w:val="18"/>
                <w:lang w:val="en-US" w:eastAsia="zh-CN"/>
              </w:rPr>
              <w:t>操作复现</w:t>
            </w:r>
          </w:p>
        </w:tc>
        <w:tc>
          <w:tcPr>
            <w:tcW w:w="7008" w:type="dxa"/>
            <w:noWrap w:val="0"/>
            <w:vAlign w:val="center"/>
          </w:tcPr>
          <w:p w14:paraId="67F1F13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left"/>
              <w:textAlignment w:val="auto"/>
              <w:rPr>
                <w:rFonts w:hint="eastAsia" w:hAnsi="宋体" w:cs="宋体"/>
                <w:sz w:val="18"/>
                <w:szCs w:val="18"/>
              </w:rPr>
            </w:pPr>
            <w:r>
              <w:rPr>
                <w:rFonts w:hint="eastAsia" w:hAnsi="宋体" w:cs="宋体"/>
                <w:sz w:val="18"/>
                <w:szCs w:val="18"/>
              </w:rPr>
              <w:t>管理层预期能否反映公司战略导向：基于行为经济学的研究</w:t>
            </w:r>
          </w:p>
        </w:tc>
      </w:tr>
    </w:tbl>
    <w:p w14:paraId="7A0C6F7B">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cs="宋体"/>
          <w:sz w:val="21"/>
          <w:szCs w:val="21"/>
          <w:lang w:val="en-US" w:eastAsia="zh-CN"/>
        </w:rPr>
      </w:pPr>
      <w:r>
        <w:rPr>
          <w:rFonts w:hint="eastAsia" w:ascii="宋体" w:hAnsi="宋体" w:eastAsia="宋体" w:cs="宋体"/>
          <w:sz w:val="21"/>
          <w:szCs w:val="21"/>
          <w:lang w:val="en-US" w:eastAsia="zh-CN"/>
        </w:rPr>
        <w:t>双向固定效应模型（Two-Way Fixed Effects Model）是一种广泛应用于面板数据分析的计量方法，通过同时控制</w:t>
      </w:r>
      <w:r>
        <w:rPr>
          <w:rFonts w:hint="default" w:ascii="宋体" w:hAnsi="宋体" w:eastAsia="宋体" w:cs="宋体"/>
          <w:sz w:val="21"/>
          <w:szCs w:val="21"/>
          <w:lang w:val="en-US" w:eastAsia="zh-CN"/>
        </w:rPr>
        <w:t>个体固定效应（如企业、地区、个人）和时间固定效应（如年份、季度），以消除不随时间变化的个体异质性和不随个体变化的宏观时间趋势，从而提高因果推断的准确性。</w:t>
      </w:r>
      <w:r>
        <w:rPr>
          <w:rFonts w:hint="eastAsia" w:ascii="宋体" w:hAnsi="宋体" w:eastAsia="宋体" w:cs="宋体"/>
          <w:sz w:val="21"/>
          <w:szCs w:val="21"/>
          <w:lang w:val="en-US" w:eastAsia="zh-CN"/>
        </w:rPr>
        <w:t>可应用于控制不可观测的异质性、因果推断中的混杂因素控制、多期双重差分（DID）的基础框架</w:t>
      </w:r>
      <w:r>
        <w:rPr>
          <w:rFonts w:hint="eastAsia" w:ascii="宋体" w:hAnsi="宋体" w:cs="宋体"/>
          <w:sz w:val="21"/>
          <w:szCs w:val="21"/>
          <w:lang w:val="en-US" w:eastAsia="zh-CN"/>
        </w:rPr>
        <w:t>、动态面板数据建模</w:t>
      </w:r>
      <w:r>
        <w:rPr>
          <w:rFonts w:hint="eastAsia" w:ascii="宋体" w:hAnsi="宋体" w:cs="宋体"/>
          <w:b w:val="0"/>
          <w:kern w:val="2"/>
          <w:sz w:val="21"/>
          <w:szCs w:val="21"/>
          <w:lang w:val="en-US" w:eastAsia="zh-CN" w:bidi="ar-SA"/>
        </w:rPr>
        <w:t>、异质性效应分析、微观实证研究</w:t>
      </w:r>
      <w:r>
        <w:rPr>
          <w:rFonts w:hint="eastAsia" w:ascii="宋体" w:hAnsi="宋体" w:cs="宋体"/>
          <w:sz w:val="21"/>
          <w:szCs w:val="21"/>
          <w:lang w:val="en-US" w:eastAsia="zh-CN"/>
        </w:rPr>
        <w:t>等</w:t>
      </w:r>
      <w:r>
        <w:rPr>
          <w:rFonts w:hint="default" w:ascii="宋体" w:hAnsi="宋体" w:eastAsia="宋体" w:cs="宋体"/>
          <w:sz w:val="21"/>
          <w:szCs w:val="21"/>
          <w:lang w:val="en-US" w:eastAsia="zh-CN"/>
        </w:rPr>
        <w:t>应用场景及相关案例</w:t>
      </w:r>
      <w:r>
        <w:rPr>
          <w:rFonts w:hint="eastAsia" w:ascii="宋体" w:hAnsi="宋体" w:cs="宋体"/>
          <w:sz w:val="21"/>
          <w:szCs w:val="21"/>
          <w:lang w:val="en-US" w:eastAsia="zh-CN"/>
        </w:rPr>
        <w:t>。</w:t>
      </w:r>
    </w:p>
    <w:p w14:paraId="7E59C3EC">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lang w:val="en-US" w:eastAsia="zh-CN"/>
        </w:rPr>
      </w:pPr>
      <w:r>
        <w:rPr>
          <w:rFonts w:hint="eastAsia" w:ascii="宋体" w:hAnsi="宋体" w:eastAsia="宋体" w:cs="宋体"/>
          <w:sz w:val="21"/>
          <w:szCs w:val="21"/>
          <w:lang w:val="en-US" w:eastAsia="zh-CN"/>
        </w:rPr>
        <w:t>双向固定效应</w:t>
      </w:r>
      <w:r>
        <w:rPr>
          <w:rFonts w:hint="eastAsia" w:ascii="宋体" w:hAnsi="宋体" w:cs="宋体"/>
          <w:sz w:val="21"/>
          <w:szCs w:val="21"/>
          <w:lang w:val="en-US" w:eastAsia="zh-CN"/>
        </w:rPr>
        <w:t>模型</w:t>
      </w:r>
      <w:r>
        <w:rPr>
          <w:rFonts w:hint="eastAsia" w:ascii="宋体" w:hAnsi="宋体" w:eastAsia="宋体" w:cs="宋体"/>
          <w:sz w:val="21"/>
          <w:szCs w:val="21"/>
          <w:lang w:val="en-US" w:eastAsia="zh-CN"/>
        </w:rPr>
        <w:t>的前提条件与注意事项</w:t>
      </w:r>
      <w:r>
        <w:rPr>
          <w:rFonts w:hint="eastAsia" w:ascii="宋体" w:hAnsi="宋体" w:cs="宋体"/>
          <w:sz w:val="21"/>
          <w:szCs w:val="21"/>
          <w:lang w:val="en-US" w:eastAsia="zh-CN"/>
        </w:rPr>
        <w:t>：</w:t>
      </w:r>
    </w:p>
    <w:p w14:paraId="1CFABCBD">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严格的外生性假设：解释变量需与误差项无关（如不存在反向因果或遗漏变量）。</w:t>
      </w:r>
    </w:p>
    <w:p w14:paraId="3FA965B0">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线性关系假设：模型默认变量间为线性关系，非线性场景需谨慎。</w:t>
      </w:r>
    </w:p>
    <w:p w14:paraId="5165BBF8">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固定效应与随机效应选择：若个体/时间效应与解释变量相关，需使用固定效应而非随机效应。</w:t>
      </w:r>
    </w:p>
    <w:p w14:paraId="3D683A3B">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样本量要求：需足够多的个体和时间维度，否则可能产生过拟合或共线性问题。</w:t>
      </w:r>
    </w:p>
    <w:p w14:paraId="1A371619">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双向固定效应模型是面板数据分析的“瑞士军刀”，适用于需要同时剥离个体差异和时间趋势的场景，尤其在以下情况中表现突出：</w:t>
      </w:r>
    </w:p>
    <w:p w14:paraId="28EB79AD">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数据存在不可观测的个体/时间异质性；</w:t>
      </w:r>
    </w:p>
    <w:p w14:paraId="68D11AD5">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需进行因果推断但无法随机分组（如政策评估、社会科学实证）；</w:t>
      </w:r>
    </w:p>
    <w:p w14:paraId="525A9598">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研究动态效应或异质性影响。</w:t>
      </w:r>
    </w:p>
    <w:p w14:paraId="4E4E1370">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案例内容</w:t>
      </w:r>
    </w:p>
    <w:p w14:paraId="781AC0DA">
      <w:pPr>
        <w:pageBreakBefore w:val="0"/>
        <w:widowControl w:val="0"/>
        <w:tabs>
          <w:tab w:val="left" w:pos="1320"/>
        </w:tabs>
        <w:kinsoku/>
        <w:wordWrap/>
        <w:overflowPunct/>
        <w:topLinePunct w:val="0"/>
        <w:autoSpaceDE/>
        <w:autoSpaceDN/>
        <w:bidi w:val="0"/>
        <w:adjustRightInd w:val="0"/>
        <w:snapToGrid w:val="0"/>
        <w:spacing w:beforeAutospacing="0" w:afterAutospacing="0" w:line="360" w:lineRule="auto"/>
        <w:ind w:right="0" w:firstLine="0" w:firstLineChars="0"/>
        <w:jc w:val="center"/>
        <w:textAlignment w:val="auto"/>
        <w:rPr>
          <w:rFonts w:hint="eastAsia" w:ascii="宋体" w:hAnsi="宋体" w:eastAsia="宋体" w:cs="宋体"/>
          <w:sz w:val="18"/>
          <w:szCs w:val="18"/>
          <w:lang w:val="en-US" w:eastAsia="zh-CN" w:bidi="ar"/>
        </w:rPr>
      </w:pPr>
      <w:r>
        <w:rPr>
          <w:rFonts w:hint="eastAsia" w:ascii="宋体" w:hAnsi="宋体" w:eastAsia="宋体" w:cs="宋体"/>
          <w:sz w:val="18"/>
          <w:szCs w:val="18"/>
          <w:lang w:bidi="ar"/>
        </w:rPr>
        <w:t>表</w:t>
      </w:r>
      <w:r>
        <w:rPr>
          <w:rFonts w:hint="eastAsia" w:ascii="宋体" w:hAnsi="宋体" w:cs="宋体"/>
          <w:sz w:val="18"/>
          <w:szCs w:val="18"/>
          <w:lang w:val="en-US" w:eastAsia="zh-CN" w:bidi="ar"/>
        </w:rPr>
        <w:t>4</w:t>
      </w:r>
      <w:r>
        <w:rPr>
          <w:rFonts w:hint="eastAsia" w:ascii="宋体" w:hAnsi="宋体" w:eastAsia="宋体" w:cs="宋体"/>
          <w:sz w:val="18"/>
          <w:szCs w:val="18"/>
          <w:lang w:bidi="ar"/>
        </w:rPr>
        <w:t xml:space="preserve"> 双向固定效应模型（管理层预期能否反映公司战略导向：基于行为经济学的研究）</w:t>
      </w:r>
    </w:p>
    <w:tbl>
      <w:tblPr>
        <w:tblStyle w:val="18"/>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22BDA1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095" w:type="dxa"/>
            <w:shd w:val="clear" w:color="auto" w:fill="E6E6E6"/>
            <w:noWrap w:val="0"/>
            <w:vAlign w:val="center"/>
          </w:tcPr>
          <w:p w14:paraId="6CD3272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一级模块</w:t>
            </w:r>
          </w:p>
        </w:tc>
        <w:tc>
          <w:tcPr>
            <w:tcW w:w="1240" w:type="dxa"/>
            <w:shd w:val="clear" w:color="auto" w:fill="E6E6E6"/>
            <w:noWrap w:val="0"/>
            <w:vAlign w:val="center"/>
          </w:tcPr>
          <w:p w14:paraId="668BBCD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二级模块</w:t>
            </w:r>
          </w:p>
        </w:tc>
        <w:tc>
          <w:tcPr>
            <w:tcW w:w="5058" w:type="dxa"/>
            <w:shd w:val="clear" w:color="auto" w:fill="E6E6E6"/>
            <w:noWrap w:val="0"/>
            <w:vAlign w:val="center"/>
          </w:tcPr>
          <w:p w14:paraId="23EB6BD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实验项目名称</w:t>
            </w:r>
          </w:p>
        </w:tc>
        <w:tc>
          <w:tcPr>
            <w:tcW w:w="1356" w:type="dxa"/>
            <w:shd w:val="clear" w:color="auto" w:fill="E6E6E6"/>
            <w:noWrap w:val="0"/>
            <w:vAlign w:val="center"/>
          </w:tcPr>
          <w:p w14:paraId="6C1565C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涉及平台</w:t>
            </w:r>
          </w:p>
        </w:tc>
      </w:tr>
      <w:tr w14:paraId="36CEB0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restart"/>
            <w:noWrap w:val="0"/>
            <w:vAlign w:val="center"/>
          </w:tcPr>
          <w:p w14:paraId="2CA2A68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p w14:paraId="604A4A91">
            <w:pPr>
              <w:pageBreakBefore w:val="0"/>
              <w:widowControl w:val="0"/>
              <w:tabs>
                <w:tab w:val="left" w:pos="1320"/>
              </w:tabs>
              <w:kinsoku/>
              <w:wordWrap/>
              <w:overflowPunct/>
              <w:topLinePunct w:val="0"/>
              <w:autoSpaceDE/>
              <w:autoSpaceDN/>
              <w:bidi w:val="0"/>
              <w:adjustRightInd w:val="0"/>
              <w:snapToGrid w:val="0"/>
              <w:spacing w:beforeAutospacing="0" w:afterAutospacing="0" w:line="360" w:lineRule="auto"/>
              <w:ind w:right="0" w:firstLine="0" w:firstLineChars="0"/>
              <w:jc w:val="center"/>
              <w:textAlignment w:val="auto"/>
              <w:rPr>
                <w:rFonts w:hint="eastAsia" w:ascii="宋体" w:hAnsi="宋体" w:eastAsia="宋体" w:cs="宋体"/>
                <w:sz w:val="18"/>
                <w:szCs w:val="18"/>
                <w:lang w:val="en-US" w:eastAsia="zh-CN" w:bidi="ar"/>
              </w:rPr>
            </w:pPr>
            <w:r>
              <w:rPr>
                <w:rFonts w:hint="eastAsia" w:ascii="宋体" w:hAnsi="宋体" w:eastAsia="宋体" w:cs="宋体"/>
                <w:sz w:val="18"/>
                <w:szCs w:val="18"/>
                <w:lang w:bidi="ar"/>
              </w:rPr>
              <w:t>双向固定效应模型（管理层预期能否反映公司战略导向：基于行为经济学的研究）</w:t>
            </w:r>
          </w:p>
          <w:p w14:paraId="606EC99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p w14:paraId="723F96B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3E8F074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实验准备</w:t>
            </w:r>
          </w:p>
        </w:tc>
        <w:tc>
          <w:tcPr>
            <w:tcW w:w="5058" w:type="dxa"/>
            <w:noWrap w:val="0"/>
            <w:vAlign w:val="center"/>
          </w:tcPr>
          <w:p w14:paraId="13FE103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textAlignment w:val="auto"/>
              <w:rPr>
                <w:rFonts w:hint="eastAsia" w:ascii="宋体" w:hAnsi="宋体" w:eastAsia="宋体" w:cs="宋体"/>
                <w:color w:val="FF0000"/>
                <w:spacing w:val="10"/>
                <w:sz w:val="18"/>
                <w:szCs w:val="18"/>
                <w:lang w:val="en-US" w:eastAsia="zh-CN"/>
              </w:rPr>
            </w:pPr>
            <w:r>
              <w:rPr>
                <w:rFonts w:hint="eastAsia" w:ascii="宋体" w:hAnsi="宋体" w:eastAsia="宋体" w:cs="宋体"/>
                <w:sz w:val="18"/>
                <w:szCs w:val="18"/>
                <w:lang w:val="en-US" w:eastAsia="zh-CN"/>
              </w:rPr>
              <w:t>打开并登录平台学习案例相关理论知识</w:t>
            </w:r>
          </w:p>
        </w:tc>
        <w:tc>
          <w:tcPr>
            <w:tcW w:w="1356" w:type="dxa"/>
            <w:vMerge w:val="restart"/>
            <w:noWrap w:val="0"/>
            <w:vAlign w:val="center"/>
          </w:tcPr>
          <w:p w14:paraId="10E0CDC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lang w:eastAsia="zh-CN"/>
              </w:rPr>
            </w:pPr>
            <w:r>
              <w:rPr>
                <w:rFonts w:hint="eastAsia" w:hAnsi="宋体" w:cs="宋体"/>
                <w:sz w:val="18"/>
                <w:szCs w:val="18"/>
                <w:lang w:eastAsia="zh-CN"/>
              </w:rPr>
              <w:t>AI金融计量教学平台</w:t>
            </w:r>
          </w:p>
        </w:tc>
      </w:tr>
      <w:tr w14:paraId="2881A5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01F82FD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00647EE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center"/>
          </w:tcPr>
          <w:p w14:paraId="735B77D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textAlignment w:val="auto"/>
              <w:rPr>
                <w:rFonts w:hint="eastAsia" w:ascii="宋体" w:hAnsi="宋体" w:eastAsia="宋体" w:cs="宋体"/>
                <w:color w:val="FF0000"/>
                <w:spacing w:val="10"/>
                <w:sz w:val="18"/>
                <w:szCs w:val="18"/>
                <w:lang w:val="en-US" w:eastAsia="zh-CN"/>
              </w:rPr>
            </w:pPr>
            <w:r>
              <w:rPr>
                <w:rFonts w:hint="eastAsia" w:ascii="宋体" w:hAnsi="宋体" w:eastAsia="宋体" w:cs="宋体"/>
                <w:sz w:val="18"/>
                <w:szCs w:val="18"/>
                <w:lang w:val="en-US" w:eastAsia="zh-CN"/>
              </w:rPr>
              <w:t>准备案例相关数据</w:t>
            </w:r>
          </w:p>
        </w:tc>
        <w:tc>
          <w:tcPr>
            <w:tcW w:w="1356" w:type="dxa"/>
            <w:vMerge w:val="continue"/>
            <w:noWrap w:val="0"/>
            <w:vAlign w:val="center"/>
          </w:tcPr>
          <w:p w14:paraId="3519958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pacing w:val="10"/>
                <w:sz w:val="18"/>
                <w:szCs w:val="18"/>
              </w:rPr>
            </w:pPr>
          </w:p>
        </w:tc>
      </w:tr>
      <w:tr w14:paraId="1FBB7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717404F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5BEDDC6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center"/>
          </w:tcPr>
          <w:p w14:paraId="6774F3D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textAlignment w:val="auto"/>
              <w:rPr>
                <w:rFonts w:hint="eastAsia" w:ascii="宋体" w:hAnsi="宋体" w:eastAsia="宋体" w:cs="宋体"/>
                <w:color w:val="FF0000"/>
                <w:spacing w:val="10"/>
                <w:sz w:val="18"/>
                <w:szCs w:val="18"/>
                <w:lang w:val="en-US" w:eastAsia="zh-CN"/>
              </w:rPr>
            </w:pPr>
            <w:r>
              <w:rPr>
                <w:rFonts w:hint="eastAsia" w:ascii="宋体" w:hAnsi="宋体" w:eastAsia="宋体" w:cs="宋体"/>
                <w:sz w:val="18"/>
                <w:szCs w:val="18"/>
                <w:lang w:val="en-US" w:eastAsia="zh-CN"/>
              </w:rPr>
              <w:t>准备仿写文档</w:t>
            </w:r>
          </w:p>
        </w:tc>
        <w:tc>
          <w:tcPr>
            <w:tcW w:w="1356" w:type="dxa"/>
            <w:vMerge w:val="continue"/>
            <w:noWrap w:val="0"/>
            <w:vAlign w:val="center"/>
          </w:tcPr>
          <w:p w14:paraId="7A9A974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pacing w:val="10"/>
                <w:sz w:val="18"/>
                <w:szCs w:val="18"/>
              </w:rPr>
            </w:pPr>
          </w:p>
        </w:tc>
      </w:tr>
      <w:tr w14:paraId="0F470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6E9FE32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4C49E6D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rPr>
              <w:t>实施</w:t>
            </w:r>
            <w:r>
              <w:rPr>
                <w:rFonts w:hint="eastAsia" w:hAnsi="宋体" w:cs="宋体"/>
                <w:sz w:val="18"/>
                <w:szCs w:val="18"/>
                <w:lang w:val="en-US" w:eastAsia="zh-CN"/>
              </w:rPr>
              <w:t>步骤</w:t>
            </w:r>
          </w:p>
        </w:tc>
        <w:tc>
          <w:tcPr>
            <w:tcW w:w="5058" w:type="dxa"/>
            <w:noWrap w:val="0"/>
            <w:vAlign w:val="center"/>
          </w:tcPr>
          <w:p w14:paraId="701FD72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任务1：各变量描述性统计</w:t>
            </w:r>
          </w:p>
        </w:tc>
        <w:tc>
          <w:tcPr>
            <w:tcW w:w="1356" w:type="dxa"/>
            <w:vMerge w:val="continue"/>
            <w:noWrap w:val="0"/>
            <w:vAlign w:val="center"/>
          </w:tcPr>
          <w:p w14:paraId="515432C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777214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1C81D9E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4C0043C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73B6B49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任务2：方差膨胀因子检验结果</w:t>
            </w:r>
          </w:p>
        </w:tc>
        <w:tc>
          <w:tcPr>
            <w:tcW w:w="1356" w:type="dxa"/>
            <w:vMerge w:val="continue"/>
            <w:noWrap w:val="0"/>
            <w:vAlign w:val="center"/>
          </w:tcPr>
          <w:p w14:paraId="3E7256D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248211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7EE7289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2789624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34CC208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b w:val="0"/>
                <w:kern w:val="2"/>
                <w:sz w:val="18"/>
                <w:szCs w:val="18"/>
                <w:lang w:val="en-US" w:eastAsia="zh-CN" w:bidi="ar"/>
              </w:rPr>
            </w:pPr>
            <w:r>
              <w:rPr>
                <w:rFonts w:hint="eastAsia" w:ascii="宋体" w:hAnsi="宋体" w:eastAsia="宋体" w:cs="宋体"/>
                <w:sz w:val="18"/>
                <w:szCs w:val="18"/>
                <w:lang w:val="en-US" w:eastAsia="zh-CN"/>
              </w:rPr>
              <w:t>任务</w:t>
            </w:r>
            <w:r>
              <w:rPr>
                <w:rFonts w:hint="eastAsia" w:hAnsi="宋体" w:cs="宋体"/>
                <w:sz w:val="18"/>
                <w:szCs w:val="18"/>
                <w:lang w:val="en-US" w:eastAsia="zh-CN"/>
              </w:rPr>
              <w:t>3</w:t>
            </w:r>
            <w:r>
              <w:rPr>
                <w:rFonts w:hint="eastAsia" w:ascii="宋体" w:hAnsi="宋体" w:eastAsia="宋体" w:cs="宋体"/>
                <w:sz w:val="18"/>
                <w:szCs w:val="18"/>
                <w:lang w:val="en-US" w:eastAsia="zh-CN"/>
              </w:rPr>
              <w:t>：固定效应和随机效应的hausman检验结果</w:t>
            </w:r>
          </w:p>
        </w:tc>
        <w:tc>
          <w:tcPr>
            <w:tcW w:w="1356" w:type="dxa"/>
            <w:vMerge w:val="continue"/>
            <w:noWrap w:val="0"/>
            <w:vAlign w:val="center"/>
          </w:tcPr>
          <w:p w14:paraId="3501E4B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347EC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472ED68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463DD15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5727445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任务</w:t>
            </w:r>
            <w:r>
              <w:rPr>
                <w:rFonts w:hint="eastAsia" w:hAnsi="宋体" w:cs="宋体"/>
                <w:sz w:val="18"/>
                <w:szCs w:val="18"/>
                <w:lang w:val="en-US" w:eastAsia="zh-CN"/>
              </w:rPr>
              <w:t>4</w:t>
            </w:r>
            <w:r>
              <w:rPr>
                <w:rFonts w:hint="eastAsia" w:ascii="宋体" w:hAnsi="宋体" w:eastAsia="宋体" w:cs="宋体"/>
                <w:sz w:val="18"/>
                <w:szCs w:val="18"/>
                <w:lang w:val="en-US" w:eastAsia="zh-CN"/>
              </w:rPr>
              <w:t>：公司利润导向的回归结果</w:t>
            </w:r>
          </w:p>
        </w:tc>
        <w:tc>
          <w:tcPr>
            <w:tcW w:w="1356" w:type="dxa"/>
            <w:vMerge w:val="continue"/>
            <w:noWrap w:val="0"/>
            <w:vAlign w:val="center"/>
          </w:tcPr>
          <w:p w14:paraId="470BB15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0376B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6F9E890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17C0C9B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16123B8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任务</w:t>
            </w:r>
            <w:r>
              <w:rPr>
                <w:rFonts w:hint="eastAsia" w:hAnsi="宋体" w:cs="宋体"/>
                <w:sz w:val="18"/>
                <w:szCs w:val="18"/>
                <w:lang w:val="en-US" w:eastAsia="zh-CN"/>
              </w:rPr>
              <w:t>5</w:t>
            </w:r>
            <w:r>
              <w:rPr>
                <w:rFonts w:hint="eastAsia" w:ascii="宋体" w:hAnsi="宋体" w:eastAsia="宋体" w:cs="宋体"/>
                <w:sz w:val="18"/>
                <w:szCs w:val="18"/>
                <w:lang w:val="en-US" w:eastAsia="zh-CN"/>
              </w:rPr>
              <w:t>：公司增长导向的回归结果</w:t>
            </w:r>
          </w:p>
        </w:tc>
        <w:tc>
          <w:tcPr>
            <w:tcW w:w="1356" w:type="dxa"/>
            <w:vMerge w:val="continue"/>
            <w:noWrap w:val="0"/>
            <w:vAlign w:val="center"/>
          </w:tcPr>
          <w:p w14:paraId="58DF596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15C930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14D3CBC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3974206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71F3F65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任务</w:t>
            </w:r>
            <w:r>
              <w:rPr>
                <w:rFonts w:hint="eastAsia" w:hAnsi="宋体" w:cs="宋体"/>
                <w:sz w:val="18"/>
                <w:szCs w:val="18"/>
                <w:lang w:val="en-US" w:eastAsia="zh-CN"/>
              </w:rPr>
              <w:t>6</w:t>
            </w:r>
            <w:r>
              <w:rPr>
                <w:rFonts w:hint="eastAsia" w:ascii="宋体" w:hAnsi="宋体" w:eastAsia="宋体" w:cs="宋体"/>
                <w:sz w:val="18"/>
                <w:szCs w:val="18"/>
                <w:lang w:val="en-US" w:eastAsia="zh-CN"/>
              </w:rPr>
              <w:t>：企业内控水平的中介效应</w:t>
            </w:r>
          </w:p>
        </w:tc>
        <w:tc>
          <w:tcPr>
            <w:tcW w:w="1356" w:type="dxa"/>
            <w:vMerge w:val="continue"/>
            <w:noWrap w:val="0"/>
            <w:vAlign w:val="center"/>
          </w:tcPr>
          <w:p w14:paraId="01F96DB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41275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0840ABC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7015D2B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5739FB8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任务</w:t>
            </w:r>
            <w:r>
              <w:rPr>
                <w:rFonts w:hint="eastAsia" w:hAnsi="宋体" w:cs="宋体"/>
                <w:sz w:val="18"/>
                <w:szCs w:val="18"/>
                <w:lang w:val="en-US" w:eastAsia="zh-CN"/>
              </w:rPr>
              <w:t>7</w:t>
            </w:r>
            <w:r>
              <w:rPr>
                <w:rFonts w:hint="eastAsia" w:ascii="宋体" w:hAnsi="宋体" w:eastAsia="宋体" w:cs="宋体"/>
                <w:sz w:val="18"/>
                <w:szCs w:val="18"/>
                <w:lang w:val="en-US" w:eastAsia="zh-CN"/>
              </w:rPr>
              <w:t>：公司增长导向的工具变量检验结果</w:t>
            </w:r>
          </w:p>
        </w:tc>
        <w:tc>
          <w:tcPr>
            <w:tcW w:w="1356" w:type="dxa"/>
            <w:vMerge w:val="continue"/>
            <w:noWrap w:val="0"/>
            <w:vAlign w:val="center"/>
          </w:tcPr>
          <w:p w14:paraId="4776BDE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21F85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341E27B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743D071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1F4E9AC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任务</w:t>
            </w:r>
            <w:r>
              <w:rPr>
                <w:rFonts w:hint="eastAsia" w:hAnsi="宋体" w:cs="宋体"/>
                <w:sz w:val="18"/>
                <w:szCs w:val="18"/>
                <w:lang w:val="en-US" w:eastAsia="zh-CN"/>
              </w:rPr>
              <w:t>8</w:t>
            </w:r>
            <w:r>
              <w:rPr>
                <w:rFonts w:hint="eastAsia" w:ascii="宋体" w:hAnsi="宋体" w:eastAsia="宋体" w:cs="宋体"/>
                <w:sz w:val="18"/>
                <w:szCs w:val="18"/>
                <w:lang w:val="en-US" w:eastAsia="zh-CN"/>
              </w:rPr>
              <w:t>：倾向得分匹配检验结果</w:t>
            </w:r>
          </w:p>
        </w:tc>
        <w:tc>
          <w:tcPr>
            <w:tcW w:w="1356" w:type="dxa"/>
            <w:vMerge w:val="continue"/>
            <w:noWrap w:val="0"/>
            <w:vAlign w:val="center"/>
          </w:tcPr>
          <w:p w14:paraId="6C29B46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26D6E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5E171E6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4479EF2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3DCB352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任务</w:t>
            </w:r>
            <w:r>
              <w:rPr>
                <w:rFonts w:hint="eastAsia" w:hAnsi="宋体" w:cs="宋体"/>
                <w:sz w:val="18"/>
                <w:szCs w:val="18"/>
                <w:lang w:val="en-US" w:eastAsia="zh-CN"/>
              </w:rPr>
              <w:t>9</w:t>
            </w:r>
            <w:r>
              <w:rPr>
                <w:rFonts w:hint="eastAsia" w:ascii="宋体" w:hAnsi="宋体" w:eastAsia="宋体" w:cs="宋体"/>
                <w:sz w:val="18"/>
                <w:szCs w:val="18"/>
                <w:lang w:val="en-US" w:eastAsia="zh-CN"/>
              </w:rPr>
              <w:t>：异质性分析</w:t>
            </w:r>
          </w:p>
        </w:tc>
        <w:tc>
          <w:tcPr>
            <w:tcW w:w="1356" w:type="dxa"/>
            <w:vMerge w:val="continue"/>
            <w:noWrap w:val="0"/>
            <w:vAlign w:val="center"/>
          </w:tcPr>
          <w:p w14:paraId="3FE28F0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17EEDE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2664C50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3680E9B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r>
              <w:rPr>
                <w:rFonts w:hint="eastAsia" w:ascii="宋体" w:hAnsi="宋体" w:eastAsia="宋体" w:cs="宋体"/>
                <w:sz w:val="18"/>
                <w:szCs w:val="18"/>
              </w:rPr>
              <w:t>实验总结</w:t>
            </w:r>
          </w:p>
        </w:tc>
        <w:tc>
          <w:tcPr>
            <w:tcW w:w="5058" w:type="dxa"/>
            <w:noWrap w:val="0"/>
            <w:vAlign w:val="center"/>
          </w:tcPr>
          <w:p w14:paraId="6D7B5DF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hAnsi="宋体" w:cs="宋体"/>
                <w:spacing w:val="10"/>
                <w:sz w:val="18"/>
                <w:szCs w:val="18"/>
                <w:lang w:val="en-US" w:eastAsia="zh-CN"/>
              </w:rPr>
              <w:t>复现</w:t>
            </w:r>
            <w:r>
              <w:rPr>
                <w:rFonts w:hint="eastAsia" w:ascii="宋体" w:hAnsi="宋体" w:eastAsia="宋体" w:cs="宋体"/>
                <w:spacing w:val="10"/>
                <w:sz w:val="18"/>
                <w:szCs w:val="18"/>
                <w:lang w:val="en-US" w:eastAsia="zh-CN"/>
              </w:rPr>
              <w:t>完整案例及模型方法</w:t>
            </w:r>
          </w:p>
        </w:tc>
        <w:tc>
          <w:tcPr>
            <w:tcW w:w="1356" w:type="dxa"/>
            <w:vMerge w:val="continue"/>
            <w:noWrap w:val="0"/>
            <w:vAlign w:val="center"/>
          </w:tcPr>
          <w:p w14:paraId="45EB56D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0FA8C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11660BA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11D965A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187E5E6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hAnsi="宋体" w:cs="宋体"/>
                <w:spacing w:val="10"/>
                <w:sz w:val="18"/>
                <w:szCs w:val="18"/>
                <w:lang w:val="en-US" w:eastAsia="zh-CN"/>
              </w:rPr>
            </w:pPr>
            <w:r>
              <w:rPr>
                <w:rFonts w:hint="eastAsia" w:hAnsi="宋体" w:cs="宋体"/>
                <w:spacing w:val="10"/>
                <w:sz w:val="18"/>
                <w:szCs w:val="18"/>
                <w:lang w:val="en-US" w:eastAsia="zh-CN"/>
              </w:rPr>
              <w:t>总结</w:t>
            </w:r>
            <w:r>
              <w:rPr>
                <w:rFonts w:hint="eastAsia" w:ascii="宋体" w:hAnsi="宋体" w:eastAsia="宋体" w:cs="宋体"/>
                <w:sz w:val="18"/>
                <w:szCs w:val="18"/>
                <w:lang w:bidi="ar"/>
              </w:rPr>
              <w:t>双向固定效应模型</w:t>
            </w:r>
            <w:r>
              <w:rPr>
                <w:rFonts w:hint="eastAsia" w:ascii="宋体" w:hAnsi="宋体" w:eastAsia="宋体" w:cs="宋体"/>
                <w:spacing w:val="10"/>
                <w:sz w:val="18"/>
                <w:szCs w:val="18"/>
                <w:lang w:val="en-US" w:eastAsia="zh-CN"/>
              </w:rPr>
              <w:t>建模技巧与论文写作技巧</w:t>
            </w:r>
          </w:p>
        </w:tc>
        <w:tc>
          <w:tcPr>
            <w:tcW w:w="1356" w:type="dxa"/>
            <w:vMerge w:val="continue"/>
            <w:noWrap w:val="0"/>
            <w:vAlign w:val="center"/>
          </w:tcPr>
          <w:p w14:paraId="446C58D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bl>
    <w:p w14:paraId="3FFCAC55">
      <w:pPr>
        <w:pStyle w:val="6"/>
        <w:keepNext/>
        <w:keepLines/>
        <w:pageBreakBefore w:val="0"/>
        <w:widowControl w:val="0"/>
        <w:numPr>
          <w:ilvl w:val="1"/>
          <w:numId w:val="16"/>
        </w:numPr>
        <w:tabs>
          <w:tab w:val="left" w:pos="1320"/>
        </w:tabs>
        <w:kinsoku/>
        <w:wordWrap/>
        <w:overflowPunct/>
        <w:topLinePunct w:val="0"/>
        <w:autoSpaceDE/>
        <w:autoSpaceDN/>
        <w:bidi w:val="0"/>
        <w:adjustRightInd w:val="0"/>
        <w:snapToGrid w:val="0"/>
        <w:spacing w:beforeAutospacing="0" w:afterAutospacing="0" w:line="360" w:lineRule="auto"/>
        <w:ind w:left="0" w:right="0" w:firstLine="422" w:firstLineChars="200"/>
        <w:textAlignment w:val="auto"/>
        <w:outlineLvl w:val="2"/>
        <w:rPr>
          <w:rFonts w:hint="eastAsia" w:ascii="宋体" w:hAnsi="宋体" w:eastAsia="宋体" w:cs="宋体"/>
          <w:b/>
          <w:sz w:val="21"/>
          <w:szCs w:val="21"/>
          <w:lang w:val="en-US" w:eastAsia="zh-CN"/>
        </w:rPr>
      </w:pPr>
      <w:bookmarkStart w:id="49" w:name="_Toc4339"/>
      <w:r>
        <w:rPr>
          <w:rFonts w:hint="eastAsia" w:ascii="宋体" w:hAnsi="宋体" w:eastAsia="宋体" w:cs="宋体"/>
          <w:b/>
          <w:sz w:val="21"/>
          <w:szCs w:val="21"/>
          <w:lang w:val="en-US" w:eastAsia="zh-CN"/>
        </w:rPr>
        <w:t>固定效应模型(数字化转型与银行信贷配置—基于银行贷款投向实体经济的视角)</w:t>
      </w:r>
      <w:bookmarkEnd w:id="49"/>
    </w:p>
    <w:p w14:paraId="5EA62FF6">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案例概述</w:t>
      </w:r>
    </w:p>
    <w:p w14:paraId="4094355D">
      <w:pPr>
        <w:pageBreakBefore w:val="0"/>
        <w:widowControl w:val="0"/>
        <w:kinsoku/>
        <w:wordWrap/>
        <w:overflowPunct/>
        <w:topLinePunct w:val="0"/>
        <w:autoSpaceDE/>
        <w:autoSpaceDN/>
        <w:bidi w:val="0"/>
        <w:adjustRightInd w:val="0"/>
        <w:snapToGrid w:val="0"/>
        <w:spacing w:beforeAutospacing="0" w:afterAutospacing="0" w:line="360" w:lineRule="auto"/>
        <w:ind w:right="0" w:firstLine="360"/>
        <w:jc w:val="center"/>
        <w:textAlignment w:val="auto"/>
        <w:rPr>
          <w:rFonts w:hint="eastAsia" w:ascii="宋体" w:hAnsi="宋体" w:eastAsia="宋体" w:cs="宋体"/>
          <w:sz w:val="18"/>
          <w:szCs w:val="18"/>
          <w:lang w:val="en-US" w:eastAsia="zh-CN" w:bidi="ar"/>
        </w:rPr>
      </w:pPr>
      <w:r>
        <w:rPr>
          <w:rFonts w:hint="eastAsia" w:ascii="宋体" w:hAnsi="宋体" w:eastAsia="宋体" w:cs="宋体"/>
          <w:sz w:val="18"/>
          <w:szCs w:val="18"/>
          <w:lang w:bidi="ar"/>
        </w:rPr>
        <w:t>表</w:t>
      </w:r>
      <w:r>
        <w:rPr>
          <w:rFonts w:hint="eastAsia" w:ascii="宋体" w:hAnsi="宋体" w:cs="宋体"/>
          <w:sz w:val="18"/>
          <w:szCs w:val="18"/>
          <w:lang w:val="en-US" w:eastAsia="zh-CN" w:bidi="ar"/>
        </w:rPr>
        <w:t xml:space="preserve">5 </w:t>
      </w:r>
      <w:r>
        <w:rPr>
          <w:rFonts w:hint="eastAsia" w:ascii="宋体" w:hAnsi="宋体" w:eastAsia="宋体" w:cs="宋体"/>
          <w:sz w:val="18"/>
          <w:szCs w:val="18"/>
          <w:lang w:bidi="ar"/>
        </w:rPr>
        <w:t>案例</w:t>
      </w:r>
      <w:r>
        <w:rPr>
          <w:rFonts w:hint="eastAsia" w:ascii="宋体" w:hAnsi="宋体" w:eastAsia="宋体" w:cs="宋体"/>
          <w:sz w:val="18"/>
          <w:szCs w:val="18"/>
          <w:lang w:val="en-US" w:eastAsia="zh-CN" w:bidi="ar"/>
        </w:rPr>
        <w:t>概述</w:t>
      </w:r>
    </w:p>
    <w:tbl>
      <w:tblPr>
        <w:tblStyle w:val="39"/>
        <w:tblW w:w="5012"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34"/>
        <w:gridCol w:w="7008"/>
      </w:tblGrid>
      <w:tr w14:paraId="6172866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1534" w:type="dxa"/>
            <w:noWrap w:val="0"/>
            <w:vAlign w:val="center"/>
          </w:tcPr>
          <w:p w14:paraId="7D1DC4A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b/>
                <w:bCs/>
                <w:sz w:val="18"/>
                <w:szCs w:val="18"/>
              </w:rPr>
            </w:pPr>
            <w:r>
              <w:rPr>
                <w:rFonts w:hint="eastAsia" w:hAnsi="宋体" w:cs="宋体"/>
                <w:b/>
                <w:bCs/>
                <w:sz w:val="18"/>
                <w:szCs w:val="18"/>
              </w:rPr>
              <w:t>模块</w:t>
            </w:r>
          </w:p>
        </w:tc>
        <w:tc>
          <w:tcPr>
            <w:tcW w:w="7008" w:type="dxa"/>
            <w:noWrap w:val="0"/>
            <w:vAlign w:val="center"/>
          </w:tcPr>
          <w:p w14:paraId="442BEF0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b/>
                <w:bCs/>
                <w:sz w:val="18"/>
                <w:szCs w:val="18"/>
              </w:rPr>
            </w:pPr>
            <w:r>
              <w:rPr>
                <w:rFonts w:hint="eastAsia" w:hAnsi="宋体" w:cs="宋体"/>
                <w:b/>
                <w:bCs/>
                <w:sz w:val="18"/>
                <w:szCs w:val="18"/>
              </w:rPr>
              <w:t>模块内容</w:t>
            </w:r>
          </w:p>
        </w:tc>
      </w:tr>
      <w:tr w14:paraId="5DAF5C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34" w:type="dxa"/>
            <w:noWrap w:val="0"/>
            <w:vAlign w:val="center"/>
          </w:tcPr>
          <w:p w14:paraId="7D9FE34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sz w:val="18"/>
                <w:szCs w:val="18"/>
              </w:rPr>
            </w:pPr>
            <w:r>
              <w:rPr>
                <w:rFonts w:hint="eastAsia" w:hAnsi="宋体" w:cs="宋体"/>
                <w:sz w:val="18"/>
                <w:szCs w:val="18"/>
              </w:rPr>
              <w:t>课时设置</w:t>
            </w:r>
          </w:p>
        </w:tc>
        <w:tc>
          <w:tcPr>
            <w:tcW w:w="7008" w:type="dxa"/>
            <w:noWrap w:val="0"/>
            <w:vAlign w:val="center"/>
          </w:tcPr>
          <w:p w14:paraId="1B292F4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both"/>
              <w:textAlignment w:val="auto"/>
              <w:rPr>
                <w:rFonts w:hint="eastAsia" w:hAnsi="宋体" w:cs="宋体"/>
                <w:sz w:val="18"/>
                <w:szCs w:val="18"/>
              </w:rPr>
            </w:pPr>
            <w:r>
              <w:rPr>
                <w:rFonts w:hint="eastAsia" w:hAnsi="宋体" w:cs="宋体"/>
                <w:sz w:val="18"/>
                <w:szCs w:val="18"/>
              </w:rPr>
              <w:t>理论教学4学时，实践教学4学时，总计8学时。</w:t>
            </w:r>
          </w:p>
        </w:tc>
      </w:tr>
      <w:tr w14:paraId="5E340B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1534" w:type="dxa"/>
            <w:noWrap w:val="0"/>
            <w:vAlign w:val="center"/>
          </w:tcPr>
          <w:p w14:paraId="7D9D56F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sz w:val="18"/>
                <w:szCs w:val="18"/>
              </w:rPr>
            </w:pPr>
            <w:r>
              <w:rPr>
                <w:rFonts w:hint="eastAsia" w:hAnsi="宋体" w:cs="宋体"/>
                <w:sz w:val="18"/>
                <w:szCs w:val="18"/>
              </w:rPr>
              <w:t>案例资源</w:t>
            </w:r>
          </w:p>
        </w:tc>
        <w:tc>
          <w:tcPr>
            <w:tcW w:w="7008" w:type="dxa"/>
            <w:noWrap w:val="0"/>
            <w:vAlign w:val="center"/>
          </w:tcPr>
          <w:p w14:paraId="2FF93B8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left"/>
              <w:textAlignment w:val="auto"/>
              <w:rPr>
                <w:rFonts w:hint="eastAsia" w:hAnsi="宋体" w:cs="宋体"/>
                <w:sz w:val="18"/>
                <w:szCs w:val="18"/>
              </w:rPr>
            </w:pPr>
            <w:r>
              <w:rPr>
                <w:rFonts w:hint="eastAsia" w:hAnsi="宋体" w:cs="宋体"/>
                <w:sz w:val="18"/>
                <w:szCs w:val="18"/>
              </w:rPr>
              <w:t>包含</w:t>
            </w:r>
            <w:r>
              <w:rPr>
                <w:rFonts w:hint="eastAsia" w:hAnsi="宋体" w:cs="宋体"/>
                <w:sz w:val="18"/>
                <w:szCs w:val="18"/>
                <w:lang w:val="en-US" w:eastAsia="zh-CN"/>
              </w:rPr>
              <w:t>11</w:t>
            </w:r>
            <w:r>
              <w:rPr>
                <w:rFonts w:hint="eastAsia" w:hAnsi="宋体" w:cs="宋体"/>
                <w:sz w:val="18"/>
                <w:szCs w:val="18"/>
              </w:rPr>
              <w:t>份实训指导书、</w:t>
            </w:r>
            <w:r>
              <w:rPr>
                <w:rFonts w:hint="eastAsia" w:hAnsi="宋体" w:cs="宋体"/>
                <w:sz w:val="18"/>
                <w:szCs w:val="18"/>
                <w:lang w:val="en-US" w:eastAsia="zh-CN"/>
              </w:rPr>
              <w:t>5</w:t>
            </w:r>
            <w:r>
              <w:rPr>
                <w:rFonts w:hint="eastAsia" w:hAnsi="宋体" w:cs="宋体"/>
                <w:sz w:val="18"/>
                <w:szCs w:val="18"/>
              </w:rPr>
              <w:t>个案例视频、</w:t>
            </w:r>
            <w:r>
              <w:rPr>
                <w:rFonts w:hint="eastAsia" w:hAnsi="宋体" w:cs="宋体"/>
                <w:sz w:val="18"/>
                <w:szCs w:val="18"/>
                <w:lang w:val="en-US" w:eastAsia="zh-CN"/>
              </w:rPr>
              <w:t>1</w:t>
            </w:r>
            <w:r>
              <w:rPr>
                <w:rFonts w:hint="eastAsia" w:hAnsi="宋体" w:cs="宋体"/>
                <w:sz w:val="18"/>
                <w:szCs w:val="18"/>
              </w:rPr>
              <w:t>份数据</w:t>
            </w:r>
            <w:r>
              <w:rPr>
                <w:rFonts w:hint="eastAsia" w:hAnsi="宋体" w:cs="宋体"/>
                <w:sz w:val="18"/>
                <w:szCs w:val="18"/>
                <w:lang w:eastAsia="zh-CN"/>
              </w:rPr>
              <w:t>、</w:t>
            </w:r>
            <w:r>
              <w:rPr>
                <w:rFonts w:hint="eastAsia" w:hAnsi="宋体" w:cs="宋体"/>
                <w:sz w:val="18"/>
                <w:szCs w:val="18"/>
                <w:lang w:val="en-US" w:eastAsia="zh-CN"/>
              </w:rPr>
              <w:t>1份论文仿写设计报告模板</w:t>
            </w:r>
            <w:r>
              <w:rPr>
                <w:rFonts w:hint="eastAsia" w:hAnsi="宋体" w:cs="宋体"/>
                <w:sz w:val="18"/>
                <w:szCs w:val="18"/>
              </w:rPr>
              <w:t>。</w:t>
            </w:r>
          </w:p>
        </w:tc>
      </w:tr>
      <w:tr w14:paraId="649910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34" w:type="dxa"/>
            <w:noWrap w:val="0"/>
            <w:vAlign w:val="center"/>
          </w:tcPr>
          <w:p w14:paraId="552EA6B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sz w:val="18"/>
                <w:szCs w:val="18"/>
              </w:rPr>
            </w:pPr>
            <w:r>
              <w:rPr>
                <w:rFonts w:hint="eastAsia" w:hAnsi="宋体" w:cs="宋体"/>
                <w:sz w:val="18"/>
                <w:szCs w:val="18"/>
              </w:rPr>
              <w:t>技能点</w:t>
            </w:r>
          </w:p>
        </w:tc>
        <w:tc>
          <w:tcPr>
            <w:tcW w:w="7008" w:type="dxa"/>
            <w:noWrap w:val="0"/>
            <w:vAlign w:val="center"/>
          </w:tcPr>
          <w:p w14:paraId="753800E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left"/>
              <w:textAlignment w:val="auto"/>
              <w:rPr>
                <w:rFonts w:hint="eastAsia" w:hAnsi="宋体" w:cs="宋体"/>
                <w:sz w:val="18"/>
                <w:szCs w:val="18"/>
              </w:rPr>
            </w:pPr>
            <w:r>
              <w:rPr>
                <w:rFonts w:hint="eastAsia" w:hAnsi="宋体" w:cs="宋体"/>
                <w:sz w:val="18"/>
                <w:szCs w:val="18"/>
                <w:lang w:val="en-US" w:eastAsia="zh-CN"/>
              </w:rPr>
              <w:t>高效掌握固定效应模型建模技巧与论文写作技巧</w:t>
            </w:r>
          </w:p>
        </w:tc>
      </w:tr>
      <w:tr w14:paraId="354D4A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2" w:hRule="atLeast"/>
          <w:jc w:val="center"/>
        </w:trPr>
        <w:tc>
          <w:tcPr>
            <w:tcW w:w="1534" w:type="dxa"/>
            <w:noWrap w:val="0"/>
            <w:vAlign w:val="center"/>
          </w:tcPr>
          <w:p w14:paraId="54DC69A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sz w:val="18"/>
                <w:szCs w:val="18"/>
              </w:rPr>
            </w:pPr>
            <w:r>
              <w:rPr>
                <w:rFonts w:hint="eastAsia" w:hAnsi="宋体" w:cs="宋体"/>
                <w:sz w:val="18"/>
                <w:szCs w:val="18"/>
                <w:lang w:val="en-US" w:eastAsia="zh-CN"/>
              </w:rPr>
              <w:t>操作复现</w:t>
            </w:r>
          </w:p>
        </w:tc>
        <w:tc>
          <w:tcPr>
            <w:tcW w:w="7008" w:type="dxa"/>
            <w:noWrap w:val="0"/>
            <w:vAlign w:val="center"/>
          </w:tcPr>
          <w:p w14:paraId="29A2BAA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left"/>
              <w:textAlignment w:val="auto"/>
              <w:rPr>
                <w:rFonts w:hint="eastAsia" w:hAnsi="宋体" w:cs="宋体"/>
                <w:sz w:val="18"/>
                <w:szCs w:val="18"/>
              </w:rPr>
            </w:pPr>
            <w:r>
              <w:rPr>
                <w:rFonts w:hint="eastAsia" w:hAnsi="宋体" w:cs="宋体"/>
                <w:sz w:val="18"/>
                <w:szCs w:val="18"/>
              </w:rPr>
              <w:t>数字化转型与银行信贷配置——基于银行贷款投向实体经济的视角</w:t>
            </w:r>
          </w:p>
        </w:tc>
      </w:tr>
    </w:tbl>
    <w:p w14:paraId="1EA923F7">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固定效应模型（Fixed Effects Model，FE）是一种用于面板数据分析的计量经济学方法，旨在控制个体或时间层面的不可观测异质性，从而更准确地估计变量间的因果关系。其核心思想是通过引入个体固定效应或时间固定效应，消除不随时间变化的个体差异或不随个体变化的时间趋势。主要应用于政策效果评估、企业绩效研究、区域经济分析、教育政策研究等场景</w:t>
      </w:r>
      <w:r>
        <w:rPr>
          <w:rFonts w:hint="eastAsia" w:ascii="宋体" w:hAnsi="宋体" w:cs="宋体"/>
          <w:sz w:val="21"/>
          <w:szCs w:val="21"/>
          <w:lang w:val="en-US" w:eastAsia="zh-CN"/>
        </w:rPr>
        <w:t>。</w:t>
      </w:r>
    </w:p>
    <w:p w14:paraId="30BF7965">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消除个体异质性</w:t>
      </w:r>
      <w:r>
        <w:rPr>
          <w:rFonts w:hint="default" w:ascii="宋体" w:hAnsi="宋体" w:eastAsia="宋体" w:cs="宋体"/>
          <w:sz w:val="21"/>
          <w:szCs w:val="21"/>
          <w:lang w:val="en-US" w:eastAsia="zh-CN"/>
        </w:rPr>
        <w:t>：通过个体固定效应，控制不随时间变化的个体特征，避免遗漏变量偏差。</w:t>
      </w:r>
    </w:p>
    <w:p w14:paraId="3BDB5E6A">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default" w:ascii="宋体" w:hAnsi="宋体" w:eastAsia="宋体" w:cs="宋体"/>
          <w:sz w:val="21"/>
          <w:szCs w:val="21"/>
          <w:lang w:val="en-US" w:eastAsia="zh-CN"/>
        </w:rPr>
        <w:t>控制时间趋势：通过时间固定效应，消除宏观时间趋势对结果的影响。</w:t>
      </w:r>
    </w:p>
    <w:p w14:paraId="767AADA9">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pPr>
      <w:r>
        <w:rPr>
          <w:rFonts w:hint="default" w:ascii="宋体" w:hAnsi="宋体" w:eastAsia="宋体" w:cs="宋体"/>
          <w:sz w:val="21"/>
          <w:szCs w:val="21"/>
          <w:lang w:val="en-US" w:eastAsia="zh-CN"/>
        </w:rPr>
        <w:t>适用性：适用于面板数据（既有时间维度又有个体维度），且个体或时间效应与解释变量相关的情况。</w:t>
      </w:r>
    </w:p>
    <w:p w14:paraId="323B1B71">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案例内容</w:t>
      </w:r>
    </w:p>
    <w:p w14:paraId="535B6E09">
      <w:pPr>
        <w:pageBreakBefore w:val="0"/>
        <w:widowControl w:val="0"/>
        <w:tabs>
          <w:tab w:val="left" w:pos="1320"/>
        </w:tabs>
        <w:kinsoku/>
        <w:wordWrap/>
        <w:overflowPunct/>
        <w:topLinePunct w:val="0"/>
        <w:autoSpaceDE/>
        <w:autoSpaceDN/>
        <w:bidi w:val="0"/>
        <w:adjustRightInd w:val="0"/>
        <w:snapToGrid w:val="0"/>
        <w:spacing w:beforeAutospacing="0" w:afterAutospacing="0" w:line="360" w:lineRule="auto"/>
        <w:ind w:right="0" w:firstLine="0" w:firstLineChars="0"/>
        <w:jc w:val="center"/>
        <w:textAlignment w:val="auto"/>
        <w:rPr>
          <w:rFonts w:hint="eastAsia" w:ascii="宋体" w:hAnsi="宋体" w:eastAsia="宋体" w:cs="宋体"/>
          <w:sz w:val="18"/>
          <w:szCs w:val="18"/>
          <w:lang w:val="en-US" w:eastAsia="zh-CN" w:bidi="ar"/>
        </w:rPr>
      </w:pPr>
      <w:r>
        <w:rPr>
          <w:rFonts w:hint="eastAsia" w:ascii="宋体" w:hAnsi="宋体" w:eastAsia="宋体" w:cs="宋体"/>
          <w:sz w:val="18"/>
          <w:szCs w:val="18"/>
          <w:lang w:bidi="ar"/>
        </w:rPr>
        <w:t>表</w:t>
      </w:r>
      <w:r>
        <w:rPr>
          <w:rFonts w:hint="eastAsia" w:ascii="宋体" w:hAnsi="宋体" w:cs="宋体"/>
          <w:sz w:val="18"/>
          <w:szCs w:val="18"/>
          <w:lang w:val="en-US" w:eastAsia="zh-CN" w:bidi="ar"/>
        </w:rPr>
        <w:t>6</w:t>
      </w:r>
      <w:r>
        <w:rPr>
          <w:rFonts w:hint="eastAsia" w:ascii="宋体" w:hAnsi="宋体" w:eastAsia="宋体" w:cs="宋体"/>
          <w:sz w:val="18"/>
          <w:szCs w:val="18"/>
          <w:lang w:bidi="ar"/>
        </w:rPr>
        <w:t xml:space="preserve"> 固定效应模型（数字化转型与银行信贷配置——基于银行贷款投向实体经济的视角）</w:t>
      </w:r>
    </w:p>
    <w:tbl>
      <w:tblPr>
        <w:tblStyle w:val="18"/>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4406C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095" w:type="dxa"/>
            <w:shd w:val="clear" w:color="auto" w:fill="E6E6E6"/>
            <w:noWrap w:val="0"/>
            <w:vAlign w:val="center"/>
          </w:tcPr>
          <w:p w14:paraId="1F74F16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一级模块</w:t>
            </w:r>
          </w:p>
        </w:tc>
        <w:tc>
          <w:tcPr>
            <w:tcW w:w="1240" w:type="dxa"/>
            <w:shd w:val="clear" w:color="auto" w:fill="E6E6E6"/>
            <w:noWrap w:val="0"/>
            <w:vAlign w:val="center"/>
          </w:tcPr>
          <w:p w14:paraId="2BCA927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二级模块</w:t>
            </w:r>
          </w:p>
        </w:tc>
        <w:tc>
          <w:tcPr>
            <w:tcW w:w="5058" w:type="dxa"/>
            <w:shd w:val="clear" w:color="auto" w:fill="E6E6E6"/>
            <w:noWrap w:val="0"/>
            <w:vAlign w:val="center"/>
          </w:tcPr>
          <w:p w14:paraId="7BAB6EB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实验项目名称</w:t>
            </w:r>
          </w:p>
        </w:tc>
        <w:tc>
          <w:tcPr>
            <w:tcW w:w="1356" w:type="dxa"/>
            <w:shd w:val="clear" w:color="auto" w:fill="E6E6E6"/>
            <w:noWrap w:val="0"/>
            <w:vAlign w:val="center"/>
          </w:tcPr>
          <w:p w14:paraId="25724D4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涉及平台</w:t>
            </w:r>
          </w:p>
        </w:tc>
      </w:tr>
      <w:tr w14:paraId="23D258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restart"/>
            <w:noWrap w:val="0"/>
            <w:vAlign w:val="center"/>
          </w:tcPr>
          <w:p w14:paraId="70D6C18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p w14:paraId="3EAD1B3B">
            <w:pPr>
              <w:pageBreakBefore w:val="0"/>
              <w:widowControl w:val="0"/>
              <w:tabs>
                <w:tab w:val="left" w:pos="1320"/>
              </w:tabs>
              <w:kinsoku/>
              <w:wordWrap/>
              <w:overflowPunct/>
              <w:topLinePunct w:val="0"/>
              <w:autoSpaceDE/>
              <w:autoSpaceDN/>
              <w:bidi w:val="0"/>
              <w:adjustRightInd w:val="0"/>
              <w:snapToGrid w:val="0"/>
              <w:spacing w:beforeAutospacing="0" w:afterAutospacing="0" w:line="360" w:lineRule="auto"/>
              <w:ind w:right="0" w:firstLine="0" w:firstLineChars="0"/>
              <w:jc w:val="center"/>
              <w:textAlignment w:val="auto"/>
              <w:rPr>
                <w:rFonts w:hint="eastAsia" w:ascii="宋体" w:hAnsi="宋体" w:eastAsia="宋体" w:cs="宋体"/>
                <w:sz w:val="18"/>
                <w:szCs w:val="18"/>
                <w:lang w:val="en-US" w:eastAsia="zh-CN" w:bidi="ar"/>
              </w:rPr>
            </w:pPr>
            <w:r>
              <w:rPr>
                <w:rFonts w:hint="eastAsia" w:ascii="宋体" w:hAnsi="宋体" w:eastAsia="宋体" w:cs="宋体"/>
                <w:sz w:val="18"/>
                <w:szCs w:val="18"/>
                <w:lang w:bidi="ar"/>
              </w:rPr>
              <w:t>固定效应模型（数字化转型与银行信贷配置—基于银行贷款投向实体经济的视角）</w:t>
            </w:r>
          </w:p>
          <w:p w14:paraId="64C9BE4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p w14:paraId="4C57CBA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7AA5E22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实验准备</w:t>
            </w:r>
          </w:p>
        </w:tc>
        <w:tc>
          <w:tcPr>
            <w:tcW w:w="5058" w:type="dxa"/>
            <w:noWrap w:val="0"/>
            <w:vAlign w:val="center"/>
          </w:tcPr>
          <w:p w14:paraId="4051AB5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textAlignment w:val="auto"/>
              <w:rPr>
                <w:rFonts w:hint="eastAsia" w:ascii="宋体" w:hAnsi="宋体" w:eastAsia="宋体" w:cs="宋体"/>
                <w:color w:val="FF0000"/>
                <w:spacing w:val="10"/>
                <w:sz w:val="18"/>
                <w:szCs w:val="18"/>
                <w:lang w:val="en-US" w:eastAsia="zh-CN"/>
              </w:rPr>
            </w:pPr>
            <w:r>
              <w:rPr>
                <w:rFonts w:hint="eastAsia" w:ascii="宋体" w:hAnsi="宋体" w:eastAsia="宋体" w:cs="宋体"/>
                <w:sz w:val="18"/>
                <w:szCs w:val="18"/>
                <w:lang w:val="en-US" w:eastAsia="zh-CN"/>
              </w:rPr>
              <w:t>打开并登录平台学习案例相关理论知识</w:t>
            </w:r>
          </w:p>
        </w:tc>
        <w:tc>
          <w:tcPr>
            <w:tcW w:w="1356" w:type="dxa"/>
            <w:vMerge w:val="restart"/>
            <w:noWrap w:val="0"/>
            <w:vAlign w:val="center"/>
          </w:tcPr>
          <w:p w14:paraId="78D8FAF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lang w:eastAsia="zh-CN"/>
              </w:rPr>
            </w:pPr>
            <w:r>
              <w:rPr>
                <w:rFonts w:hint="eastAsia" w:hAnsi="宋体" w:cs="宋体"/>
                <w:sz w:val="18"/>
                <w:szCs w:val="18"/>
                <w:lang w:eastAsia="zh-CN"/>
              </w:rPr>
              <w:t>AI金融计量教学平台</w:t>
            </w:r>
          </w:p>
        </w:tc>
      </w:tr>
      <w:tr w14:paraId="5E3C0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19A298D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294F8B6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center"/>
          </w:tcPr>
          <w:p w14:paraId="0C0BEF2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textAlignment w:val="auto"/>
              <w:rPr>
                <w:rFonts w:hint="eastAsia" w:ascii="宋体" w:hAnsi="宋体" w:eastAsia="宋体" w:cs="宋体"/>
                <w:color w:val="FF0000"/>
                <w:spacing w:val="10"/>
                <w:sz w:val="18"/>
                <w:szCs w:val="18"/>
                <w:lang w:val="en-US" w:eastAsia="zh-CN"/>
              </w:rPr>
            </w:pPr>
            <w:r>
              <w:rPr>
                <w:rFonts w:hint="eastAsia" w:ascii="宋体" w:hAnsi="宋体" w:eastAsia="宋体" w:cs="宋体"/>
                <w:sz w:val="18"/>
                <w:szCs w:val="18"/>
                <w:lang w:val="en-US" w:eastAsia="zh-CN"/>
              </w:rPr>
              <w:t>准备案例相关数据</w:t>
            </w:r>
          </w:p>
        </w:tc>
        <w:tc>
          <w:tcPr>
            <w:tcW w:w="1356" w:type="dxa"/>
            <w:vMerge w:val="continue"/>
            <w:noWrap w:val="0"/>
            <w:vAlign w:val="center"/>
          </w:tcPr>
          <w:p w14:paraId="4AC055D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pacing w:val="10"/>
                <w:sz w:val="18"/>
                <w:szCs w:val="18"/>
              </w:rPr>
            </w:pPr>
          </w:p>
        </w:tc>
      </w:tr>
      <w:tr w14:paraId="69D09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53D2250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6607613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center"/>
          </w:tcPr>
          <w:p w14:paraId="6A1FD6D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textAlignment w:val="auto"/>
              <w:rPr>
                <w:rFonts w:hint="eastAsia" w:ascii="宋体" w:hAnsi="宋体" w:eastAsia="宋体" w:cs="宋体"/>
                <w:color w:val="FF0000"/>
                <w:spacing w:val="10"/>
                <w:sz w:val="18"/>
                <w:szCs w:val="18"/>
                <w:lang w:val="en-US" w:eastAsia="zh-CN"/>
              </w:rPr>
            </w:pPr>
            <w:r>
              <w:rPr>
                <w:rFonts w:hint="eastAsia" w:ascii="宋体" w:hAnsi="宋体" w:eastAsia="宋体" w:cs="宋体"/>
                <w:sz w:val="18"/>
                <w:szCs w:val="18"/>
                <w:lang w:val="en-US" w:eastAsia="zh-CN"/>
              </w:rPr>
              <w:t>准备仿写文档</w:t>
            </w:r>
          </w:p>
        </w:tc>
        <w:tc>
          <w:tcPr>
            <w:tcW w:w="1356" w:type="dxa"/>
            <w:vMerge w:val="continue"/>
            <w:noWrap w:val="0"/>
            <w:vAlign w:val="center"/>
          </w:tcPr>
          <w:p w14:paraId="7243E22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pacing w:val="10"/>
                <w:sz w:val="18"/>
                <w:szCs w:val="18"/>
              </w:rPr>
            </w:pPr>
          </w:p>
        </w:tc>
      </w:tr>
      <w:tr w14:paraId="6C3C67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22942EC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718E587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rPr>
              <w:t>实施</w:t>
            </w:r>
            <w:r>
              <w:rPr>
                <w:rFonts w:hint="eastAsia" w:hAnsi="宋体" w:cs="宋体"/>
                <w:sz w:val="18"/>
                <w:szCs w:val="18"/>
                <w:lang w:val="en-US" w:eastAsia="zh-CN"/>
              </w:rPr>
              <w:t>步骤</w:t>
            </w:r>
          </w:p>
        </w:tc>
        <w:tc>
          <w:tcPr>
            <w:tcW w:w="5058" w:type="dxa"/>
            <w:noWrap w:val="0"/>
            <w:vAlign w:val="center"/>
          </w:tcPr>
          <w:p w14:paraId="1131408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假说 1的研究设计</w:t>
            </w:r>
          </w:p>
        </w:tc>
        <w:tc>
          <w:tcPr>
            <w:tcW w:w="1356" w:type="dxa"/>
            <w:vMerge w:val="continue"/>
            <w:noWrap w:val="0"/>
            <w:vAlign w:val="center"/>
          </w:tcPr>
          <w:p w14:paraId="0C47BEA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103DA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3BD6A61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1F7F7C5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43979FA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假说 2的研究设计</w:t>
            </w:r>
          </w:p>
        </w:tc>
        <w:tc>
          <w:tcPr>
            <w:tcW w:w="1356" w:type="dxa"/>
            <w:vMerge w:val="continue"/>
            <w:noWrap w:val="0"/>
            <w:vAlign w:val="center"/>
          </w:tcPr>
          <w:p w14:paraId="208F6F6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4A191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6A36BAF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694CDEA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71C2BD8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b w:val="0"/>
                <w:kern w:val="2"/>
                <w:sz w:val="18"/>
                <w:szCs w:val="18"/>
                <w:lang w:val="en-US" w:eastAsia="zh-CN" w:bidi="ar"/>
              </w:rPr>
            </w:pPr>
            <w:r>
              <w:rPr>
                <w:rFonts w:hint="eastAsia" w:ascii="宋体" w:hAnsi="宋体" w:eastAsia="宋体" w:cs="宋体"/>
                <w:b w:val="0"/>
                <w:kern w:val="2"/>
                <w:sz w:val="18"/>
                <w:szCs w:val="18"/>
                <w:lang w:val="en-US" w:eastAsia="zh-CN" w:bidi="ar"/>
              </w:rPr>
              <w:t>内生性处理一：工具变量法</w:t>
            </w:r>
          </w:p>
        </w:tc>
        <w:tc>
          <w:tcPr>
            <w:tcW w:w="1356" w:type="dxa"/>
            <w:vMerge w:val="continue"/>
            <w:noWrap w:val="0"/>
            <w:vAlign w:val="center"/>
          </w:tcPr>
          <w:p w14:paraId="6ABDD67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4E773B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25AF286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7767E43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01355D6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内生性处理二：动态面板 GMM 估计</w:t>
            </w:r>
          </w:p>
        </w:tc>
        <w:tc>
          <w:tcPr>
            <w:tcW w:w="1356" w:type="dxa"/>
            <w:vMerge w:val="continue"/>
            <w:noWrap w:val="0"/>
            <w:vAlign w:val="center"/>
          </w:tcPr>
          <w:p w14:paraId="7688E9D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3F504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79801BB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23827FC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5ADA531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内生性处理三：滞后一期回归</w:t>
            </w:r>
          </w:p>
        </w:tc>
        <w:tc>
          <w:tcPr>
            <w:tcW w:w="1356" w:type="dxa"/>
            <w:vMerge w:val="continue"/>
            <w:noWrap w:val="0"/>
            <w:vAlign w:val="center"/>
          </w:tcPr>
          <w:p w14:paraId="4BEC417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1F15DE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1831BDA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68F9CAD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00EF174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稳健性检验</w:t>
            </w:r>
          </w:p>
        </w:tc>
        <w:tc>
          <w:tcPr>
            <w:tcW w:w="1356" w:type="dxa"/>
            <w:vMerge w:val="continue"/>
            <w:noWrap w:val="0"/>
            <w:vAlign w:val="center"/>
          </w:tcPr>
          <w:p w14:paraId="4774A92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763EC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6CD1BEF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6DF4610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60373ED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不同数字化转型路径对信贷配置的影响</w:t>
            </w:r>
          </w:p>
        </w:tc>
        <w:tc>
          <w:tcPr>
            <w:tcW w:w="1356" w:type="dxa"/>
            <w:vMerge w:val="continue"/>
            <w:noWrap w:val="0"/>
            <w:vAlign w:val="center"/>
          </w:tcPr>
          <w:p w14:paraId="6311DF1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38218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48BAE2B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085FCA5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shd w:val="clear" w:color="auto" w:fill="auto"/>
            <w:noWrap w:val="0"/>
            <w:vAlign w:val="center"/>
          </w:tcPr>
          <w:p w14:paraId="1012F5E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textAlignment w:val="auto"/>
              <w:rPr>
                <w:rFonts w:hint="eastAsia" w:ascii="宋体" w:hAnsi="宋体" w:eastAsia="宋体" w:cs="宋体"/>
                <w:kern w:val="2"/>
                <w:sz w:val="18"/>
                <w:szCs w:val="18"/>
                <w:lang w:val="en-US" w:eastAsia="zh-CN" w:bidi="ar"/>
              </w:rPr>
            </w:pPr>
            <w:r>
              <w:rPr>
                <w:rFonts w:hint="eastAsia" w:ascii="宋体" w:hAnsi="宋体" w:eastAsia="宋体" w:cs="宋体"/>
                <w:sz w:val="18"/>
                <w:szCs w:val="18"/>
                <w:lang w:val="en-US" w:eastAsia="zh-CN"/>
              </w:rPr>
              <w:t>实体网点和在职员工总量对信贷配置的影响</w:t>
            </w:r>
          </w:p>
        </w:tc>
        <w:tc>
          <w:tcPr>
            <w:tcW w:w="1356" w:type="dxa"/>
            <w:vMerge w:val="continue"/>
            <w:noWrap w:val="0"/>
            <w:vAlign w:val="center"/>
          </w:tcPr>
          <w:p w14:paraId="6C4E802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1AFFC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3DE39B7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4BD8101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shd w:val="clear" w:color="auto" w:fill="auto"/>
            <w:noWrap w:val="0"/>
            <w:vAlign w:val="center"/>
          </w:tcPr>
          <w:p w14:paraId="407E10F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textAlignment w:val="auto"/>
              <w:rPr>
                <w:rFonts w:hint="eastAsia" w:ascii="宋体" w:hAnsi="宋体" w:eastAsia="宋体" w:cs="宋体"/>
                <w:kern w:val="2"/>
                <w:sz w:val="18"/>
                <w:szCs w:val="18"/>
                <w:lang w:val="en-US" w:eastAsia="zh-CN" w:bidi="ar"/>
              </w:rPr>
            </w:pPr>
            <w:r>
              <w:rPr>
                <w:rFonts w:hint="eastAsia" w:ascii="宋体" w:hAnsi="宋体" w:eastAsia="宋体" w:cs="宋体"/>
                <w:sz w:val="18"/>
                <w:szCs w:val="18"/>
                <w:lang w:val="en-US" w:eastAsia="zh-CN"/>
              </w:rPr>
              <w:t>经济周期和信贷周期对信贷配置的调节作用</w:t>
            </w:r>
          </w:p>
        </w:tc>
        <w:tc>
          <w:tcPr>
            <w:tcW w:w="1356" w:type="dxa"/>
            <w:vMerge w:val="continue"/>
            <w:noWrap w:val="0"/>
            <w:vAlign w:val="center"/>
          </w:tcPr>
          <w:p w14:paraId="4E4078B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6C455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0B7099F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2A876A1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344C7A6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对银行特征的异质性分析</w:t>
            </w:r>
          </w:p>
        </w:tc>
        <w:tc>
          <w:tcPr>
            <w:tcW w:w="1356" w:type="dxa"/>
            <w:vMerge w:val="continue"/>
            <w:noWrap w:val="0"/>
            <w:vAlign w:val="center"/>
          </w:tcPr>
          <w:p w14:paraId="046F7E2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181AB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7798A3A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7063524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r>
              <w:rPr>
                <w:rFonts w:hint="eastAsia" w:ascii="宋体" w:hAnsi="宋体" w:eastAsia="宋体" w:cs="宋体"/>
                <w:sz w:val="18"/>
                <w:szCs w:val="18"/>
              </w:rPr>
              <w:t>实验总结</w:t>
            </w:r>
          </w:p>
        </w:tc>
        <w:tc>
          <w:tcPr>
            <w:tcW w:w="5058" w:type="dxa"/>
            <w:noWrap w:val="0"/>
            <w:vAlign w:val="center"/>
          </w:tcPr>
          <w:p w14:paraId="4305BEF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hAnsi="宋体" w:cs="宋体"/>
                <w:spacing w:val="10"/>
                <w:sz w:val="18"/>
                <w:szCs w:val="18"/>
                <w:lang w:val="en-US" w:eastAsia="zh-CN"/>
              </w:rPr>
              <w:t>复现</w:t>
            </w:r>
            <w:r>
              <w:rPr>
                <w:rFonts w:hint="eastAsia" w:ascii="宋体" w:hAnsi="宋体" w:eastAsia="宋体" w:cs="宋体"/>
                <w:spacing w:val="10"/>
                <w:sz w:val="18"/>
                <w:szCs w:val="18"/>
                <w:lang w:val="en-US" w:eastAsia="zh-CN"/>
              </w:rPr>
              <w:t>完整案例及模型方法</w:t>
            </w:r>
          </w:p>
        </w:tc>
        <w:tc>
          <w:tcPr>
            <w:tcW w:w="1356" w:type="dxa"/>
            <w:vMerge w:val="continue"/>
            <w:noWrap w:val="0"/>
            <w:vAlign w:val="center"/>
          </w:tcPr>
          <w:p w14:paraId="0B786A6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2ACF9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5C6141E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7A1CD58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72AAB55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hAnsi="宋体" w:cs="宋体"/>
                <w:spacing w:val="10"/>
                <w:sz w:val="18"/>
                <w:szCs w:val="18"/>
                <w:lang w:val="en-US" w:eastAsia="zh-CN"/>
              </w:rPr>
            </w:pPr>
            <w:r>
              <w:rPr>
                <w:rFonts w:hint="eastAsia" w:hAnsi="宋体" w:cs="宋体"/>
                <w:spacing w:val="10"/>
                <w:sz w:val="18"/>
                <w:szCs w:val="18"/>
                <w:lang w:val="en-US" w:eastAsia="zh-CN"/>
              </w:rPr>
              <w:t>总结</w:t>
            </w:r>
            <w:r>
              <w:rPr>
                <w:rFonts w:hint="eastAsia" w:ascii="宋体" w:hAnsi="宋体" w:eastAsia="宋体" w:cs="宋体"/>
                <w:sz w:val="18"/>
                <w:szCs w:val="18"/>
                <w:lang w:bidi="ar"/>
              </w:rPr>
              <w:t>固定效应模型</w:t>
            </w:r>
            <w:r>
              <w:rPr>
                <w:rFonts w:hint="eastAsia" w:ascii="宋体" w:hAnsi="宋体" w:eastAsia="宋体" w:cs="宋体"/>
                <w:spacing w:val="10"/>
                <w:sz w:val="18"/>
                <w:szCs w:val="18"/>
                <w:lang w:val="en-US" w:eastAsia="zh-CN"/>
              </w:rPr>
              <w:t>建模技巧与论文写作技巧</w:t>
            </w:r>
          </w:p>
        </w:tc>
        <w:tc>
          <w:tcPr>
            <w:tcW w:w="1356" w:type="dxa"/>
            <w:vMerge w:val="continue"/>
            <w:noWrap w:val="0"/>
            <w:vAlign w:val="center"/>
          </w:tcPr>
          <w:p w14:paraId="4D888A3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bl>
    <w:p w14:paraId="0FE43EC2">
      <w:pPr>
        <w:pStyle w:val="6"/>
        <w:keepNext/>
        <w:keepLines/>
        <w:pageBreakBefore w:val="0"/>
        <w:widowControl w:val="0"/>
        <w:numPr>
          <w:ilvl w:val="1"/>
          <w:numId w:val="16"/>
        </w:numPr>
        <w:tabs>
          <w:tab w:val="left" w:pos="1320"/>
        </w:tabs>
        <w:kinsoku/>
        <w:wordWrap/>
        <w:overflowPunct/>
        <w:topLinePunct w:val="0"/>
        <w:autoSpaceDE/>
        <w:autoSpaceDN/>
        <w:bidi w:val="0"/>
        <w:adjustRightInd w:val="0"/>
        <w:snapToGrid w:val="0"/>
        <w:spacing w:beforeAutospacing="0" w:afterAutospacing="0" w:line="360" w:lineRule="auto"/>
        <w:ind w:left="0" w:right="0" w:firstLine="422" w:firstLineChars="200"/>
        <w:textAlignment w:val="auto"/>
        <w:outlineLvl w:val="2"/>
        <w:rPr>
          <w:rFonts w:hint="eastAsia" w:ascii="宋体" w:hAnsi="宋体" w:eastAsia="宋体" w:cs="宋体"/>
          <w:b/>
          <w:sz w:val="21"/>
          <w:szCs w:val="21"/>
          <w:lang w:val="en-US" w:eastAsia="zh-CN"/>
        </w:rPr>
      </w:pPr>
      <w:bookmarkStart w:id="50" w:name="_Toc13873"/>
      <w:r>
        <w:rPr>
          <w:rFonts w:hint="eastAsia" w:ascii="宋体" w:hAnsi="宋体" w:eastAsia="宋体" w:cs="宋体"/>
          <w:b/>
          <w:sz w:val="21"/>
          <w:szCs w:val="21"/>
          <w:lang w:val="en-US" w:eastAsia="zh-CN"/>
        </w:rPr>
        <w:t>事件研究法（央行沟通公告有助于提升政策利率的传导效率吗）</w:t>
      </w:r>
      <w:bookmarkEnd w:id="50"/>
    </w:p>
    <w:p w14:paraId="294F5C22">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案例概述</w:t>
      </w:r>
    </w:p>
    <w:p w14:paraId="274B8324">
      <w:pPr>
        <w:pageBreakBefore w:val="0"/>
        <w:widowControl w:val="0"/>
        <w:kinsoku/>
        <w:wordWrap/>
        <w:overflowPunct/>
        <w:topLinePunct w:val="0"/>
        <w:autoSpaceDE/>
        <w:autoSpaceDN/>
        <w:bidi w:val="0"/>
        <w:adjustRightInd w:val="0"/>
        <w:snapToGrid w:val="0"/>
        <w:spacing w:beforeAutospacing="0" w:afterAutospacing="0" w:line="360" w:lineRule="auto"/>
        <w:ind w:right="0" w:firstLine="360"/>
        <w:jc w:val="center"/>
        <w:textAlignment w:val="auto"/>
        <w:rPr>
          <w:rFonts w:hint="eastAsia" w:ascii="宋体" w:hAnsi="宋体" w:eastAsia="宋体" w:cs="宋体"/>
          <w:sz w:val="18"/>
          <w:szCs w:val="18"/>
          <w:lang w:val="en-US" w:eastAsia="zh-CN" w:bidi="ar"/>
        </w:rPr>
      </w:pPr>
      <w:r>
        <w:rPr>
          <w:rFonts w:hint="eastAsia" w:ascii="宋体" w:hAnsi="宋体" w:eastAsia="宋体" w:cs="宋体"/>
          <w:sz w:val="18"/>
          <w:szCs w:val="18"/>
          <w:lang w:bidi="ar"/>
        </w:rPr>
        <w:t>表</w:t>
      </w:r>
      <w:r>
        <w:rPr>
          <w:rFonts w:hint="eastAsia" w:ascii="宋体" w:hAnsi="宋体" w:cs="宋体"/>
          <w:sz w:val="18"/>
          <w:szCs w:val="18"/>
          <w:lang w:val="en-US" w:eastAsia="zh-CN" w:bidi="ar"/>
        </w:rPr>
        <w:t>7</w:t>
      </w:r>
      <w:r>
        <w:rPr>
          <w:rFonts w:hint="eastAsia" w:ascii="宋体" w:hAnsi="宋体" w:eastAsia="宋体" w:cs="宋体"/>
          <w:sz w:val="18"/>
          <w:szCs w:val="18"/>
          <w:lang w:bidi="ar"/>
        </w:rPr>
        <w:t xml:space="preserve"> 案例</w:t>
      </w:r>
      <w:r>
        <w:rPr>
          <w:rFonts w:hint="eastAsia" w:ascii="宋体" w:hAnsi="宋体" w:eastAsia="宋体" w:cs="宋体"/>
          <w:sz w:val="18"/>
          <w:szCs w:val="18"/>
          <w:lang w:val="en-US" w:eastAsia="zh-CN" w:bidi="ar"/>
        </w:rPr>
        <w:t>概述</w:t>
      </w:r>
    </w:p>
    <w:tbl>
      <w:tblPr>
        <w:tblStyle w:val="39"/>
        <w:tblW w:w="5012"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34"/>
        <w:gridCol w:w="7008"/>
      </w:tblGrid>
      <w:tr w14:paraId="46C6A1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1534" w:type="dxa"/>
            <w:noWrap w:val="0"/>
            <w:vAlign w:val="center"/>
          </w:tcPr>
          <w:p w14:paraId="0C6B435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b/>
                <w:bCs/>
                <w:sz w:val="18"/>
                <w:szCs w:val="18"/>
              </w:rPr>
            </w:pPr>
            <w:r>
              <w:rPr>
                <w:rFonts w:hint="eastAsia" w:hAnsi="宋体" w:cs="宋体"/>
                <w:b/>
                <w:bCs/>
                <w:sz w:val="18"/>
                <w:szCs w:val="18"/>
              </w:rPr>
              <w:t>模块</w:t>
            </w:r>
          </w:p>
        </w:tc>
        <w:tc>
          <w:tcPr>
            <w:tcW w:w="7008" w:type="dxa"/>
            <w:noWrap w:val="0"/>
            <w:vAlign w:val="center"/>
          </w:tcPr>
          <w:p w14:paraId="587A610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b/>
                <w:bCs/>
                <w:sz w:val="18"/>
                <w:szCs w:val="18"/>
              </w:rPr>
            </w:pPr>
            <w:r>
              <w:rPr>
                <w:rFonts w:hint="eastAsia" w:hAnsi="宋体" w:cs="宋体"/>
                <w:b/>
                <w:bCs/>
                <w:sz w:val="18"/>
                <w:szCs w:val="18"/>
              </w:rPr>
              <w:t>模块内容</w:t>
            </w:r>
          </w:p>
        </w:tc>
      </w:tr>
      <w:tr w14:paraId="0615E68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34" w:type="dxa"/>
            <w:noWrap w:val="0"/>
            <w:vAlign w:val="center"/>
          </w:tcPr>
          <w:p w14:paraId="72B3492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sz w:val="18"/>
                <w:szCs w:val="18"/>
              </w:rPr>
            </w:pPr>
            <w:r>
              <w:rPr>
                <w:rFonts w:hint="eastAsia" w:hAnsi="宋体" w:cs="宋体"/>
                <w:sz w:val="18"/>
                <w:szCs w:val="18"/>
              </w:rPr>
              <w:t>课时设置</w:t>
            </w:r>
          </w:p>
        </w:tc>
        <w:tc>
          <w:tcPr>
            <w:tcW w:w="7008" w:type="dxa"/>
            <w:noWrap w:val="0"/>
            <w:vAlign w:val="center"/>
          </w:tcPr>
          <w:p w14:paraId="7077F4A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both"/>
              <w:textAlignment w:val="auto"/>
              <w:rPr>
                <w:rFonts w:hint="eastAsia" w:hAnsi="宋体" w:cs="宋体"/>
                <w:sz w:val="18"/>
                <w:szCs w:val="18"/>
              </w:rPr>
            </w:pPr>
            <w:r>
              <w:rPr>
                <w:rFonts w:hint="eastAsia" w:hAnsi="宋体" w:cs="宋体"/>
                <w:sz w:val="18"/>
                <w:szCs w:val="18"/>
              </w:rPr>
              <w:t>理论教学4学时，实践教学4学时，总计8学时。</w:t>
            </w:r>
          </w:p>
        </w:tc>
      </w:tr>
      <w:tr w14:paraId="20BE6C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1534" w:type="dxa"/>
            <w:noWrap w:val="0"/>
            <w:vAlign w:val="center"/>
          </w:tcPr>
          <w:p w14:paraId="17AE425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sz w:val="18"/>
                <w:szCs w:val="18"/>
              </w:rPr>
            </w:pPr>
            <w:r>
              <w:rPr>
                <w:rFonts w:hint="eastAsia" w:hAnsi="宋体" w:cs="宋体"/>
                <w:sz w:val="18"/>
                <w:szCs w:val="18"/>
              </w:rPr>
              <w:t>案例资源</w:t>
            </w:r>
          </w:p>
        </w:tc>
        <w:tc>
          <w:tcPr>
            <w:tcW w:w="7008" w:type="dxa"/>
            <w:noWrap w:val="0"/>
            <w:vAlign w:val="center"/>
          </w:tcPr>
          <w:p w14:paraId="1DC714E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left"/>
              <w:textAlignment w:val="auto"/>
              <w:rPr>
                <w:rFonts w:hint="eastAsia" w:hAnsi="宋体" w:cs="宋体"/>
                <w:sz w:val="18"/>
                <w:szCs w:val="18"/>
              </w:rPr>
            </w:pPr>
            <w:r>
              <w:rPr>
                <w:rFonts w:hint="eastAsia" w:hAnsi="宋体" w:cs="宋体"/>
                <w:sz w:val="18"/>
                <w:szCs w:val="18"/>
              </w:rPr>
              <w:t>包含</w:t>
            </w:r>
            <w:r>
              <w:rPr>
                <w:rFonts w:hint="eastAsia" w:hAnsi="宋体" w:cs="宋体"/>
                <w:sz w:val="18"/>
                <w:szCs w:val="18"/>
                <w:lang w:val="en-US" w:eastAsia="zh-CN"/>
              </w:rPr>
              <w:t>11</w:t>
            </w:r>
            <w:r>
              <w:rPr>
                <w:rFonts w:hint="eastAsia" w:hAnsi="宋体" w:cs="宋体"/>
                <w:sz w:val="18"/>
                <w:szCs w:val="18"/>
              </w:rPr>
              <w:t>份实训指导书、</w:t>
            </w:r>
            <w:r>
              <w:rPr>
                <w:rFonts w:hint="eastAsia" w:hAnsi="宋体" w:cs="宋体"/>
                <w:sz w:val="18"/>
                <w:szCs w:val="18"/>
                <w:lang w:val="en-US" w:eastAsia="zh-CN"/>
              </w:rPr>
              <w:t>2</w:t>
            </w:r>
            <w:r>
              <w:rPr>
                <w:rFonts w:hint="eastAsia" w:hAnsi="宋体" w:cs="宋体"/>
                <w:sz w:val="18"/>
                <w:szCs w:val="18"/>
              </w:rPr>
              <w:t>个案例视频、</w:t>
            </w:r>
            <w:r>
              <w:rPr>
                <w:rFonts w:hint="eastAsia" w:hAnsi="宋体" w:cs="宋体"/>
                <w:sz w:val="18"/>
                <w:szCs w:val="18"/>
                <w:lang w:val="en-US" w:eastAsia="zh-CN"/>
              </w:rPr>
              <w:t>5</w:t>
            </w:r>
            <w:r>
              <w:rPr>
                <w:rFonts w:hint="eastAsia" w:hAnsi="宋体" w:cs="宋体"/>
                <w:sz w:val="18"/>
                <w:szCs w:val="18"/>
              </w:rPr>
              <w:t>份数据</w:t>
            </w:r>
            <w:r>
              <w:rPr>
                <w:rFonts w:hint="eastAsia" w:hAnsi="宋体" w:cs="宋体"/>
                <w:sz w:val="18"/>
                <w:szCs w:val="18"/>
                <w:lang w:eastAsia="zh-CN"/>
              </w:rPr>
              <w:t>、</w:t>
            </w:r>
            <w:r>
              <w:rPr>
                <w:rFonts w:hint="eastAsia" w:hAnsi="宋体" w:cs="宋体"/>
                <w:sz w:val="18"/>
                <w:szCs w:val="18"/>
                <w:lang w:val="en-US" w:eastAsia="zh-CN"/>
              </w:rPr>
              <w:t>1份论文仿写设计报告模板</w:t>
            </w:r>
            <w:r>
              <w:rPr>
                <w:rFonts w:hint="eastAsia" w:hAnsi="宋体" w:cs="宋体"/>
                <w:sz w:val="18"/>
                <w:szCs w:val="18"/>
              </w:rPr>
              <w:t>。</w:t>
            </w:r>
          </w:p>
        </w:tc>
      </w:tr>
      <w:tr w14:paraId="0F683A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34" w:type="dxa"/>
            <w:noWrap w:val="0"/>
            <w:vAlign w:val="center"/>
          </w:tcPr>
          <w:p w14:paraId="0DFB3E9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sz w:val="18"/>
                <w:szCs w:val="18"/>
              </w:rPr>
            </w:pPr>
            <w:r>
              <w:rPr>
                <w:rFonts w:hint="eastAsia" w:hAnsi="宋体" w:cs="宋体"/>
                <w:sz w:val="18"/>
                <w:szCs w:val="18"/>
              </w:rPr>
              <w:t>技能点</w:t>
            </w:r>
          </w:p>
        </w:tc>
        <w:tc>
          <w:tcPr>
            <w:tcW w:w="7008" w:type="dxa"/>
            <w:noWrap w:val="0"/>
            <w:vAlign w:val="center"/>
          </w:tcPr>
          <w:p w14:paraId="17B21B2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left"/>
              <w:textAlignment w:val="auto"/>
              <w:rPr>
                <w:rFonts w:hint="eastAsia" w:hAnsi="宋体" w:cs="宋体"/>
                <w:sz w:val="18"/>
                <w:szCs w:val="18"/>
              </w:rPr>
            </w:pPr>
            <w:r>
              <w:rPr>
                <w:rFonts w:hint="eastAsia" w:hAnsi="宋体" w:cs="宋体"/>
                <w:sz w:val="18"/>
                <w:szCs w:val="18"/>
                <w:lang w:val="en-US" w:eastAsia="zh-CN"/>
              </w:rPr>
              <w:t>高效掌握事件研究法建模技巧与论文写作技巧</w:t>
            </w:r>
          </w:p>
        </w:tc>
      </w:tr>
      <w:tr w14:paraId="54AF34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2" w:hRule="atLeast"/>
          <w:jc w:val="center"/>
        </w:trPr>
        <w:tc>
          <w:tcPr>
            <w:tcW w:w="1534" w:type="dxa"/>
            <w:noWrap w:val="0"/>
            <w:vAlign w:val="center"/>
          </w:tcPr>
          <w:p w14:paraId="3DD7D75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sz w:val="18"/>
                <w:szCs w:val="18"/>
              </w:rPr>
            </w:pPr>
            <w:r>
              <w:rPr>
                <w:rFonts w:hint="eastAsia" w:hAnsi="宋体" w:cs="宋体"/>
                <w:sz w:val="18"/>
                <w:szCs w:val="18"/>
                <w:lang w:val="en-US" w:eastAsia="zh-CN"/>
              </w:rPr>
              <w:t>操作复现</w:t>
            </w:r>
          </w:p>
        </w:tc>
        <w:tc>
          <w:tcPr>
            <w:tcW w:w="7008" w:type="dxa"/>
            <w:noWrap w:val="0"/>
            <w:vAlign w:val="center"/>
          </w:tcPr>
          <w:p w14:paraId="5733B7A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left"/>
              <w:textAlignment w:val="auto"/>
              <w:rPr>
                <w:rFonts w:hint="eastAsia" w:hAnsi="宋体" w:cs="宋体"/>
                <w:sz w:val="18"/>
                <w:szCs w:val="18"/>
              </w:rPr>
            </w:pPr>
            <w:r>
              <w:rPr>
                <w:rFonts w:hint="eastAsia" w:hAnsi="宋体" w:cs="宋体"/>
                <w:sz w:val="18"/>
                <w:szCs w:val="18"/>
              </w:rPr>
              <w:t>央行沟通公告有助于提升政策利率的传导效率吗</w:t>
            </w:r>
          </w:p>
        </w:tc>
      </w:tr>
    </w:tbl>
    <w:p w14:paraId="7725A9C6">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default" w:ascii="宋体" w:hAnsi="宋体" w:eastAsia="宋体" w:cs="宋体"/>
          <w:sz w:val="21"/>
          <w:szCs w:val="21"/>
          <w:lang w:val="en-US" w:eastAsia="zh-CN"/>
        </w:rPr>
        <w:t>事件研究法（Event Study）是一种用于评估特定事件（如政策发布、企业并购、市场冲击等）对经济变量（如股价、收益率、企业绩效等）影响的计量经济学方法。其核心思想是通过比较事件发生前后的经济变量变化，识别事件的因果效应。</w:t>
      </w:r>
    </w:p>
    <w:p w14:paraId="2123104A">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聚焦事件影响：通过对比事件前后的经济变量变化，识别事件的净效应。</w:t>
      </w:r>
    </w:p>
    <w:p w14:paraId="74A27E05">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灵活性：适用于多种事件类型（如政策发布、企业行为、市场冲击等）和经济变量（如股价、收益率、交易量等）。</w:t>
      </w:r>
    </w:p>
    <w:p w14:paraId="11C40A64">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可视化强：通过绘制异常收益或累计异常收益的时间序列图，直观展示事件影响。</w:t>
      </w:r>
    </w:p>
    <w:p w14:paraId="05B5FAF0">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事件研究法是一种强大的工具，适用于评估特定事件对经济变量的影响，尤其在金融市场研究、政策效果评估、企业行为分析等领域具有重要应用价值。在实际应用中，需合理选择事件窗口、估计正常收益，并通过统计检验和稳健性分析确保结果的可靠性。</w:t>
      </w:r>
    </w:p>
    <w:p w14:paraId="0D26657C">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案例内容</w:t>
      </w:r>
    </w:p>
    <w:p w14:paraId="72C215E1">
      <w:pPr>
        <w:pageBreakBefore w:val="0"/>
        <w:widowControl w:val="0"/>
        <w:tabs>
          <w:tab w:val="left" w:pos="1320"/>
        </w:tabs>
        <w:kinsoku/>
        <w:wordWrap/>
        <w:overflowPunct/>
        <w:topLinePunct w:val="0"/>
        <w:autoSpaceDE/>
        <w:autoSpaceDN/>
        <w:bidi w:val="0"/>
        <w:adjustRightInd w:val="0"/>
        <w:snapToGrid w:val="0"/>
        <w:spacing w:beforeAutospacing="0" w:afterAutospacing="0" w:line="360" w:lineRule="auto"/>
        <w:ind w:right="0" w:firstLine="0" w:firstLineChars="0"/>
        <w:jc w:val="center"/>
        <w:textAlignment w:val="auto"/>
        <w:rPr>
          <w:rFonts w:hint="eastAsia" w:ascii="宋体" w:hAnsi="宋体" w:eastAsia="宋体" w:cs="宋体"/>
          <w:sz w:val="18"/>
          <w:szCs w:val="18"/>
          <w:lang w:val="en-US" w:eastAsia="zh-CN" w:bidi="ar"/>
        </w:rPr>
      </w:pPr>
      <w:r>
        <w:rPr>
          <w:rFonts w:hint="eastAsia" w:ascii="宋体" w:hAnsi="宋体" w:eastAsia="宋体" w:cs="宋体"/>
          <w:sz w:val="18"/>
          <w:szCs w:val="18"/>
          <w:lang w:bidi="ar"/>
        </w:rPr>
        <w:t>表</w:t>
      </w:r>
      <w:r>
        <w:rPr>
          <w:rFonts w:hint="eastAsia" w:ascii="宋体" w:hAnsi="宋体" w:cs="宋体"/>
          <w:sz w:val="18"/>
          <w:szCs w:val="18"/>
          <w:lang w:val="en-US" w:eastAsia="zh-CN" w:bidi="ar"/>
        </w:rPr>
        <w:t>8</w:t>
      </w:r>
      <w:r>
        <w:rPr>
          <w:rFonts w:hint="eastAsia" w:ascii="宋体" w:hAnsi="宋体" w:eastAsia="宋体" w:cs="宋体"/>
          <w:sz w:val="18"/>
          <w:szCs w:val="18"/>
          <w:lang w:bidi="ar"/>
        </w:rPr>
        <w:t xml:space="preserve"> 事件研究法（央行沟通公告有助于提升政策利率的传导效率吗）</w:t>
      </w:r>
    </w:p>
    <w:tbl>
      <w:tblPr>
        <w:tblStyle w:val="18"/>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2EFA2B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095" w:type="dxa"/>
            <w:shd w:val="clear" w:color="auto" w:fill="E6E6E6"/>
            <w:noWrap w:val="0"/>
            <w:vAlign w:val="center"/>
          </w:tcPr>
          <w:p w14:paraId="2A67D4C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一级模块</w:t>
            </w:r>
          </w:p>
        </w:tc>
        <w:tc>
          <w:tcPr>
            <w:tcW w:w="1240" w:type="dxa"/>
            <w:shd w:val="clear" w:color="auto" w:fill="E6E6E6"/>
            <w:noWrap w:val="0"/>
            <w:vAlign w:val="center"/>
          </w:tcPr>
          <w:p w14:paraId="4552E3B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二级模块</w:t>
            </w:r>
          </w:p>
        </w:tc>
        <w:tc>
          <w:tcPr>
            <w:tcW w:w="5058" w:type="dxa"/>
            <w:shd w:val="clear" w:color="auto" w:fill="E6E6E6"/>
            <w:noWrap w:val="0"/>
            <w:vAlign w:val="center"/>
          </w:tcPr>
          <w:p w14:paraId="606ACD5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实验项目名称</w:t>
            </w:r>
          </w:p>
        </w:tc>
        <w:tc>
          <w:tcPr>
            <w:tcW w:w="1356" w:type="dxa"/>
            <w:shd w:val="clear" w:color="auto" w:fill="E6E6E6"/>
            <w:noWrap w:val="0"/>
            <w:vAlign w:val="center"/>
          </w:tcPr>
          <w:p w14:paraId="52893DE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涉及平台</w:t>
            </w:r>
          </w:p>
        </w:tc>
      </w:tr>
      <w:tr w14:paraId="087D4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restart"/>
            <w:noWrap w:val="0"/>
            <w:vAlign w:val="center"/>
          </w:tcPr>
          <w:p w14:paraId="5A1A7C9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p w14:paraId="017F401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事件研究法（央行沟通公告有助于提升政策利率的传导效率吗）</w:t>
            </w:r>
          </w:p>
        </w:tc>
        <w:tc>
          <w:tcPr>
            <w:tcW w:w="1240" w:type="dxa"/>
            <w:vMerge w:val="restart"/>
            <w:noWrap w:val="0"/>
            <w:vAlign w:val="center"/>
          </w:tcPr>
          <w:p w14:paraId="00B2462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实验准备</w:t>
            </w:r>
          </w:p>
        </w:tc>
        <w:tc>
          <w:tcPr>
            <w:tcW w:w="5058" w:type="dxa"/>
            <w:noWrap w:val="0"/>
            <w:vAlign w:val="center"/>
          </w:tcPr>
          <w:p w14:paraId="53CD6F1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textAlignment w:val="auto"/>
              <w:rPr>
                <w:rFonts w:hint="eastAsia" w:ascii="宋体" w:hAnsi="宋体" w:eastAsia="宋体" w:cs="宋体"/>
                <w:color w:val="FF0000"/>
                <w:spacing w:val="10"/>
                <w:sz w:val="18"/>
                <w:szCs w:val="18"/>
                <w:lang w:val="en-US" w:eastAsia="zh-CN"/>
              </w:rPr>
            </w:pPr>
            <w:r>
              <w:rPr>
                <w:rFonts w:hint="eastAsia" w:ascii="宋体" w:hAnsi="宋体" w:eastAsia="宋体" w:cs="宋体"/>
                <w:sz w:val="18"/>
                <w:szCs w:val="18"/>
                <w:lang w:val="en-US" w:eastAsia="zh-CN"/>
              </w:rPr>
              <w:t>打开并登录平台学习案例相关理论知识</w:t>
            </w:r>
          </w:p>
        </w:tc>
        <w:tc>
          <w:tcPr>
            <w:tcW w:w="1356" w:type="dxa"/>
            <w:vMerge w:val="restart"/>
            <w:noWrap w:val="0"/>
            <w:vAlign w:val="center"/>
          </w:tcPr>
          <w:p w14:paraId="4F25AF1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lang w:eastAsia="zh-CN"/>
              </w:rPr>
            </w:pPr>
            <w:r>
              <w:rPr>
                <w:rFonts w:hint="eastAsia" w:hAnsi="宋体" w:cs="宋体"/>
                <w:sz w:val="18"/>
                <w:szCs w:val="18"/>
                <w:lang w:eastAsia="zh-CN"/>
              </w:rPr>
              <w:t>AI金融计量教学平台</w:t>
            </w:r>
          </w:p>
        </w:tc>
      </w:tr>
      <w:tr w14:paraId="5D224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5C22112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30E83CE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center"/>
          </w:tcPr>
          <w:p w14:paraId="221A100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textAlignment w:val="auto"/>
              <w:rPr>
                <w:rFonts w:hint="eastAsia" w:ascii="宋体" w:hAnsi="宋体" w:eastAsia="宋体" w:cs="宋体"/>
                <w:color w:val="FF0000"/>
                <w:spacing w:val="10"/>
                <w:sz w:val="18"/>
                <w:szCs w:val="18"/>
                <w:lang w:val="en-US" w:eastAsia="zh-CN"/>
              </w:rPr>
            </w:pPr>
            <w:r>
              <w:rPr>
                <w:rFonts w:hint="eastAsia" w:ascii="宋体" w:hAnsi="宋体" w:eastAsia="宋体" w:cs="宋体"/>
                <w:sz w:val="18"/>
                <w:szCs w:val="18"/>
                <w:lang w:val="en-US" w:eastAsia="zh-CN"/>
              </w:rPr>
              <w:t>准备案例相关数据</w:t>
            </w:r>
          </w:p>
        </w:tc>
        <w:tc>
          <w:tcPr>
            <w:tcW w:w="1356" w:type="dxa"/>
            <w:vMerge w:val="continue"/>
            <w:noWrap w:val="0"/>
            <w:vAlign w:val="center"/>
          </w:tcPr>
          <w:p w14:paraId="5A9423B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pacing w:val="10"/>
                <w:sz w:val="18"/>
                <w:szCs w:val="18"/>
              </w:rPr>
            </w:pPr>
          </w:p>
        </w:tc>
      </w:tr>
      <w:tr w14:paraId="545E35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05EC325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007F144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center"/>
          </w:tcPr>
          <w:p w14:paraId="5BA6048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textAlignment w:val="auto"/>
              <w:rPr>
                <w:rFonts w:hint="eastAsia" w:ascii="宋体" w:hAnsi="宋体" w:eastAsia="宋体" w:cs="宋体"/>
                <w:color w:val="FF0000"/>
                <w:spacing w:val="10"/>
                <w:sz w:val="18"/>
                <w:szCs w:val="18"/>
                <w:lang w:val="en-US" w:eastAsia="zh-CN"/>
              </w:rPr>
            </w:pPr>
            <w:r>
              <w:rPr>
                <w:rFonts w:hint="eastAsia" w:ascii="宋体" w:hAnsi="宋体" w:eastAsia="宋体" w:cs="宋体"/>
                <w:sz w:val="18"/>
                <w:szCs w:val="18"/>
                <w:lang w:val="en-US" w:eastAsia="zh-CN"/>
              </w:rPr>
              <w:t>准备仿写文档</w:t>
            </w:r>
          </w:p>
        </w:tc>
        <w:tc>
          <w:tcPr>
            <w:tcW w:w="1356" w:type="dxa"/>
            <w:vMerge w:val="continue"/>
            <w:noWrap w:val="0"/>
            <w:vAlign w:val="center"/>
          </w:tcPr>
          <w:p w14:paraId="10A4A95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pacing w:val="10"/>
                <w:sz w:val="18"/>
                <w:szCs w:val="18"/>
              </w:rPr>
            </w:pPr>
          </w:p>
        </w:tc>
      </w:tr>
      <w:tr w14:paraId="6A6D0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00BC24A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781C424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rPr>
              <w:t>实施</w:t>
            </w:r>
            <w:r>
              <w:rPr>
                <w:rFonts w:hint="eastAsia" w:hAnsi="宋体" w:cs="宋体"/>
                <w:sz w:val="18"/>
                <w:szCs w:val="18"/>
                <w:lang w:val="en-US" w:eastAsia="zh-CN"/>
              </w:rPr>
              <w:t>步骤</w:t>
            </w:r>
          </w:p>
        </w:tc>
        <w:tc>
          <w:tcPr>
            <w:tcW w:w="5058" w:type="dxa"/>
            <w:noWrap w:val="0"/>
            <w:vAlign w:val="center"/>
          </w:tcPr>
          <w:p w14:paraId="74BFF49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数据描述性统计</w:t>
            </w:r>
          </w:p>
        </w:tc>
        <w:tc>
          <w:tcPr>
            <w:tcW w:w="1356" w:type="dxa"/>
            <w:vMerge w:val="continue"/>
            <w:noWrap w:val="0"/>
            <w:vAlign w:val="center"/>
          </w:tcPr>
          <w:p w14:paraId="261659D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0C2B9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6E83ACF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662EA64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2691C56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央行沟通公告对政策利率传导效率的影响</w:t>
            </w:r>
          </w:p>
        </w:tc>
        <w:tc>
          <w:tcPr>
            <w:tcW w:w="1356" w:type="dxa"/>
            <w:vMerge w:val="continue"/>
            <w:noWrap w:val="0"/>
            <w:vAlign w:val="center"/>
          </w:tcPr>
          <w:p w14:paraId="4A8EC40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681CEA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487F32A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65A0754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25E0802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b w:val="0"/>
                <w:kern w:val="2"/>
                <w:sz w:val="18"/>
                <w:szCs w:val="18"/>
                <w:lang w:val="en-US" w:eastAsia="zh-CN" w:bidi="ar"/>
              </w:rPr>
            </w:pPr>
            <w:r>
              <w:rPr>
                <w:rFonts w:hint="eastAsia" w:ascii="宋体" w:hAnsi="宋体" w:eastAsia="宋体" w:cs="宋体"/>
                <w:b w:val="0"/>
                <w:kern w:val="2"/>
                <w:sz w:val="18"/>
                <w:szCs w:val="18"/>
                <w:lang w:val="en-US" w:eastAsia="zh-CN" w:bidi="ar"/>
              </w:rPr>
              <w:t>“小纸条”对政策利率传导效率的影响检验</w:t>
            </w:r>
          </w:p>
        </w:tc>
        <w:tc>
          <w:tcPr>
            <w:tcW w:w="1356" w:type="dxa"/>
            <w:vMerge w:val="continue"/>
            <w:noWrap w:val="0"/>
            <w:vAlign w:val="center"/>
          </w:tcPr>
          <w:p w14:paraId="4DD1387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50CDE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698CB7B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3243B29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4E985ED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双重差分回归结果</w:t>
            </w:r>
          </w:p>
        </w:tc>
        <w:tc>
          <w:tcPr>
            <w:tcW w:w="1356" w:type="dxa"/>
            <w:vMerge w:val="continue"/>
            <w:noWrap w:val="0"/>
            <w:vAlign w:val="center"/>
          </w:tcPr>
          <w:p w14:paraId="02B3090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6229BB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19514E8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0682520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0B4010D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日内分钟数据回归结果</w:t>
            </w:r>
          </w:p>
        </w:tc>
        <w:tc>
          <w:tcPr>
            <w:tcW w:w="1356" w:type="dxa"/>
            <w:vMerge w:val="continue"/>
            <w:noWrap w:val="0"/>
            <w:vAlign w:val="center"/>
          </w:tcPr>
          <w:p w14:paraId="5D14D28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1E4118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45EFD0A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75373FC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5F89C53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作用渠道检验</w:t>
            </w:r>
          </w:p>
        </w:tc>
        <w:tc>
          <w:tcPr>
            <w:tcW w:w="1356" w:type="dxa"/>
            <w:vMerge w:val="continue"/>
            <w:noWrap w:val="0"/>
            <w:vAlign w:val="center"/>
          </w:tcPr>
          <w:p w14:paraId="1545EFF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0C088B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03B7C4D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5792282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12B759A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“小纸条”对政策利率传导效率的补充检验</w:t>
            </w:r>
          </w:p>
        </w:tc>
        <w:tc>
          <w:tcPr>
            <w:tcW w:w="1356" w:type="dxa"/>
            <w:vMerge w:val="continue"/>
            <w:noWrap w:val="0"/>
            <w:vAlign w:val="center"/>
          </w:tcPr>
          <w:p w14:paraId="742994D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71472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6242638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071278E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7C19158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稳健性检验</w:t>
            </w:r>
          </w:p>
        </w:tc>
        <w:tc>
          <w:tcPr>
            <w:tcW w:w="1356" w:type="dxa"/>
            <w:vMerge w:val="continue"/>
            <w:noWrap w:val="0"/>
            <w:vAlign w:val="center"/>
          </w:tcPr>
          <w:p w14:paraId="6289D52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458E62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6A6A3BF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4FAAC2E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0D6735D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平行趋势检验结果</w:t>
            </w:r>
          </w:p>
        </w:tc>
        <w:tc>
          <w:tcPr>
            <w:tcW w:w="1356" w:type="dxa"/>
            <w:vMerge w:val="continue"/>
            <w:noWrap w:val="0"/>
            <w:vAlign w:val="center"/>
          </w:tcPr>
          <w:p w14:paraId="363A642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7D830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03B2DEA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701A5B3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3F30558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安慰剂检验</w:t>
            </w:r>
          </w:p>
        </w:tc>
        <w:tc>
          <w:tcPr>
            <w:tcW w:w="1356" w:type="dxa"/>
            <w:vMerge w:val="continue"/>
            <w:noWrap w:val="0"/>
            <w:vAlign w:val="center"/>
          </w:tcPr>
          <w:p w14:paraId="25875C2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53D66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448CCF1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5758A45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r>
              <w:rPr>
                <w:rFonts w:hint="eastAsia" w:ascii="宋体" w:hAnsi="宋体" w:eastAsia="宋体" w:cs="宋体"/>
                <w:sz w:val="18"/>
                <w:szCs w:val="18"/>
              </w:rPr>
              <w:t>实验总结</w:t>
            </w:r>
          </w:p>
        </w:tc>
        <w:tc>
          <w:tcPr>
            <w:tcW w:w="5058" w:type="dxa"/>
            <w:noWrap w:val="0"/>
            <w:vAlign w:val="center"/>
          </w:tcPr>
          <w:p w14:paraId="206E531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hAnsi="宋体" w:cs="宋体"/>
                <w:spacing w:val="10"/>
                <w:sz w:val="18"/>
                <w:szCs w:val="18"/>
                <w:lang w:val="en-US" w:eastAsia="zh-CN"/>
              </w:rPr>
              <w:t>复现</w:t>
            </w:r>
            <w:r>
              <w:rPr>
                <w:rFonts w:hint="eastAsia" w:ascii="宋体" w:hAnsi="宋体" w:eastAsia="宋体" w:cs="宋体"/>
                <w:spacing w:val="10"/>
                <w:sz w:val="18"/>
                <w:szCs w:val="18"/>
                <w:lang w:val="en-US" w:eastAsia="zh-CN"/>
              </w:rPr>
              <w:t>完整案例及模型方法</w:t>
            </w:r>
          </w:p>
        </w:tc>
        <w:tc>
          <w:tcPr>
            <w:tcW w:w="1356" w:type="dxa"/>
            <w:vMerge w:val="continue"/>
            <w:noWrap w:val="0"/>
            <w:vAlign w:val="center"/>
          </w:tcPr>
          <w:p w14:paraId="5AD585E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13CDF2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5C1D953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7B77B39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746C779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hAnsi="宋体" w:cs="宋体"/>
                <w:spacing w:val="10"/>
                <w:sz w:val="18"/>
                <w:szCs w:val="18"/>
                <w:lang w:val="en-US" w:eastAsia="zh-CN"/>
              </w:rPr>
            </w:pPr>
            <w:r>
              <w:rPr>
                <w:rFonts w:hint="eastAsia" w:hAnsi="宋体" w:cs="宋体"/>
                <w:spacing w:val="10"/>
                <w:sz w:val="18"/>
                <w:szCs w:val="18"/>
                <w:lang w:val="en-US" w:eastAsia="zh-CN"/>
              </w:rPr>
              <w:t>总结</w:t>
            </w:r>
            <w:r>
              <w:rPr>
                <w:rFonts w:hint="eastAsia" w:hAnsi="宋体" w:cs="宋体"/>
                <w:sz w:val="18"/>
                <w:szCs w:val="18"/>
                <w:lang w:val="en-US" w:eastAsia="zh-CN" w:bidi="ar"/>
              </w:rPr>
              <w:t>事件研究法</w:t>
            </w:r>
            <w:r>
              <w:rPr>
                <w:rFonts w:hint="eastAsia" w:ascii="宋体" w:hAnsi="宋体" w:eastAsia="宋体" w:cs="宋体"/>
                <w:spacing w:val="10"/>
                <w:sz w:val="18"/>
                <w:szCs w:val="18"/>
                <w:lang w:val="en-US" w:eastAsia="zh-CN"/>
              </w:rPr>
              <w:t>建模技巧与论文写作技巧</w:t>
            </w:r>
          </w:p>
        </w:tc>
        <w:tc>
          <w:tcPr>
            <w:tcW w:w="1356" w:type="dxa"/>
            <w:vMerge w:val="continue"/>
            <w:noWrap w:val="0"/>
            <w:vAlign w:val="center"/>
          </w:tcPr>
          <w:p w14:paraId="23AE410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bl>
    <w:p w14:paraId="4C76EEC6">
      <w:pPr>
        <w:pStyle w:val="6"/>
        <w:keepNext/>
        <w:keepLines/>
        <w:pageBreakBefore w:val="0"/>
        <w:widowControl w:val="0"/>
        <w:numPr>
          <w:ilvl w:val="1"/>
          <w:numId w:val="16"/>
        </w:numPr>
        <w:tabs>
          <w:tab w:val="left" w:pos="1320"/>
        </w:tabs>
        <w:kinsoku/>
        <w:wordWrap/>
        <w:overflowPunct/>
        <w:topLinePunct w:val="0"/>
        <w:autoSpaceDE/>
        <w:autoSpaceDN/>
        <w:bidi w:val="0"/>
        <w:adjustRightInd w:val="0"/>
        <w:snapToGrid w:val="0"/>
        <w:spacing w:beforeAutospacing="0" w:afterAutospacing="0" w:line="360" w:lineRule="auto"/>
        <w:ind w:left="0" w:right="0" w:firstLine="422" w:firstLineChars="200"/>
        <w:textAlignment w:val="auto"/>
        <w:outlineLvl w:val="2"/>
        <w:rPr>
          <w:rFonts w:hint="eastAsia" w:ascii="宋体" w:hAnsi="宋体" w:eastAsia="宋体" w:cs="宋体"/>
          <w:b/>
          <w:sz w:val="21"/>
          <w:szCs w:val="21"/>
          <w:lang w:val="en-US" w:eastAsia="zh-CN"/>
        </w:rPr>
      </w:pPr>
      <w:bookmarkStart w:id="51" w:name="_Toc23527"/>
      <w:r>
        <w:rPr>
          <w:rFonts w:hint="eastAsia" w:ascii="宋体" w:hAnsi="宋体" w:eastAsia="宋体" w:cs="宋体"/>
          <w:b/>
          <w:sz w:val="21"/>
          <w:szCs w:val="21"/>
          <w:lang w:val="en-US" w:eastAsia="zh-CN"/>
        </w:rPr>
        <w:t>倾向得分匹配+双重差分（延付高管薪酬对银行风险承担的政策效应—基于银行盈余管理动机视角的PSM-DID分析）</w:t>
      </w:r>
      <w:bookmarkEnd w:id="51"/>
    </w:p>
    <w:p w14:paraId="6790FB60">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案例概述</w:t>
      </w:r>
    </w:p>
    <w:p w14:paraId="6230CFD6">
      <w:pPr>
        <w:pageBreakBefore w:val="0"/>
        <w:widowControl w:val="0"/>
        <w:kinsoku/>
        <w:wordWrap/>
        <w:overflowPunct/>
        <w:topLinePunct w:val="0"/>
        <w:autoSpaceDE/>
        <w:autoSpaceDN/>
        <w:bidi w:val="0"/>
        <w:adjustRightInd w:val="0"/>
        <w:snapToGrid w:val="0"/>
        <w:spacing w:beforeAutospacing="0" w:afterAutospacing="0" w:line="360" w:lineRule="auto"/>
        <w:ind w:right="0" w:firstLine="360"/>
        <w:jc w:val="center"/>
        <w:textAlignment w:val="auto"/>
        <w:rPr>
          <w:rFonts w:hint="eastAsia" w:ascii="宋体" w:hAnsi="宋体" w:eastAsia="宋体" w:cs="宋体"/>
          <w:sz w:val="18"/>
          <w:szCs w:val="18"/>
          <w:lang w:val="en-US" w:eastAsia="zh-CN" w:bidi="ar"/>
        </w:rPr>
      </w:pPr>
      <w:r>
        <w:rPr>
          <w:rFonts w:hint="eastAsia" w:ascii="宋体" w:hAnsi="宋体" w:eastAsia="宋体" w:cs="宋体"/>
          <w:sz w:val="18"/>
          <w:szCs w:val="18"/>
          <w:lang w:bidi="ar"/>
        </w:rPr>
        <w:t>表</w:t>
      </w:r>
      <w:r>
        <w:rPr>
          <w:rFonts w:hint="eastAsia" w:ascii="宋体" w:hAnsi="宋体" w:cs="宋体"/>
          <w:sz w:val="18"/>
          <w:szCs w:val="18"/>
          <w:lang w:val="en-US" w:eastAsia="zh-CN" w:bidi="ar"/>
        </w:rPr>
        <w:t>9</w:t>
      </w:r>
      <w:r>
        <w:rPr>
          <w:rFonts w:hint="eastAsia" w:ascii="宋体" w:hAnsi="宋体" w:eastAsia="宋体" w:cs="宋体"/>
          <w:sz w:val="18"/>
          <w:szCs w:val="18"/>
          <w:lang w:bidi="ar"/>
        </w:rPr>
        <w:t xml:space="preserve"> 案例</w:t>
      </w:r>
      <w:r>
        <w:rPr>
          <w:rFonts w:hint="eastAsia" w:ascii="宋体" w:hAnsi="宋体" w:eastAsia="宋体" w:cs="宋体"/>
          <w:sz w:val="18"/>
          <w:szCs w:val="18"/>
          <w:lang w:val="en-US" w:eastAsia="zh-CN" w:bidi="ar"/>
        </w:rPr>
        <w:t>概述</w:t>
      </w:r>
    </w:p>
    <w:tbl>
      <w:tblPr>
        <w:tblStyle w:val="39"/>
        <w:tblW w:w="5012"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34"/>
        <w:gridCol w:w="7008"/>
      </w:tblGrid>
      <w:tr w14:paraId="2B5B55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1534" w:type="dxa"/>
            <w:noWrap w:val="0"/>
            <w:vAlign w:val="center"/>
          </w:tcPr>
          <w:p w14:paraId="343311E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b/>
                <w:bCs/>
                <w:sz w:val="18"/>
                <w:szCs w:val="18"/>
              </w:rPr>
            </w:pPr>
            <w:r>
              <w:rPr>
                <w:rFonts w:hint="eastAsia" w:hAnsi="宋体" w:cs="宋体"/>
                <w:b/>
                <w:bCs/>
                <w:sz w:val="18"/>
                <w:szCs w:val="18"/>
              </w:rPr>
              <w:t>模块</w:t>
            </w:r>
          </w:p>
        </w:tc>
        <w:tc>
          <w:tcPr>
            <w:tcW w:w="7008" w:type="dxa"/>
            <w:noWrap w:val="0"/>
            <w:vAlign w:val="center"/>
          </w:tcPr>
          <w:p w14:paraId="18A38A4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b/>
                <w:bCs/>
                <w:sz w:val="18"/>
                <w:szCs w:val="18"/>
              </w:rPr>
            </w:pPr>
            <w:r>
              <w:rPr>
                <w:rFonts w:hint="eastAsia" w:hAnsi="宋体" w:cs="宋体"/>
                <w:b/>
                <w:bCs/>
                <w:sz w:val="18"/>
                <w:szCs w:val="18"/>
              </w:rPr>
              <w:t>模块内容</w:t>
            </w:r>
          </w:p>
        </w:tc>
      </w:tr>
      <w:tr w14:paraId="0364AF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34" w:type="dxa"/>
            <w:noWrap w:val="0"/>
            <w:vAlign w:val="center"/>
          </w:tcPr>
          <w:p w14:paraId="45C94AA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sz w:val="18"/>
                <w:szCs w:val="18"/>
              </w:rPr>
            </w:pPr>
            <w:r>
              <w:rPr>
                <w:rFonts w:hint="eastAsia" w:hAnsi="宋体" w:cs="宋体"/>
                <w:sz w:val="18"/>
                <w:szCs w:val="18"/>
              </w:rPr>
              <w:t>课时设置</w:t>
            </w:r>
          </w:p>
        </w:tc>
        <w:tc>
          <w:tcPr>
            <w:tcW w:w="7008" w:type="dxa"/>
            <w:noWrap w:val="0"/>
            <w:vAlign w:val="center"/>
          </w:tcPr>
          <w:p w14:paraId="19C69A7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both"/>
              <w:textAlignment w:val="auto"/>
              <w:rPr>
                <w:rFonts w:hint="eastAsia" w:hAnsi="宋体" w:cs="宋体"/>
                <w:sz w:val="18"/>
                <w:szCs w:val="18"/>
              </w:rPr>
            </w:pPr>
            <w:r>
              <w:rPr>
                <w:rFonts w:hint="eastAsia" w:hAnsi="宋体" w:cs="宋体"/>
                <w:sz w:val="18"/>
                <w:szCs w:val="18"/>
              </w:rPr>
              <w:t>理论教学4学时，实践教学4学时，总计8学时。</w:t>
            </w:r>
          </w:p>
        </w:tc>
      </w:tr>
      <w:tr w14:paraId="007D411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1534" w:type="dxa"/>
            <w:noWrap w:val="0"/>
            <w:vAlign w:val="center"/>
          </w:tcPr>
          <w:p w14:paraId="620556F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sz w:val="18"/>
                <w:szCs w:val="18"/>
              </w:rPr>
            </w:pPr>
            <w:r>
              <w:rPr>
                <w:rFonts w:hint="eastAsia" w:hAnsi="宋体" w:cs="宋体"/>
                <w:sz w:val="18"/>
                <w:szCs w:val="18"/>
              </w:rPr>
              <w:t>案例资源</w:t>
            </w:r>
          </w:p>
        </w:tc>
        <w:tc>
          <w:tcPr>
            <w:tcW w:w="7008" w:type="dxa"/>
            <w:noWrap w:val="0"/>
            <w:vAlign w:val="center"/>
          </w:tcPr>
          <w:p w14:paraId="6D3F5F2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left"/>
              <w:textAlignment w:val="auto"/>
              <w:rPr>
                <w:rFonts w:hint="eastAsia" w:hAnsi="宋体" w:cs="宋体"/>
                <w:sz w:val="18"/>
                <w:szCs w:val="18"/>
              </w:rPr>
            </w:pPr>
            <w:r>
              <w:rPr>
                <w:rFonts w:hint="eastAsia" w:hAnsi="宋体" w:cs="宋体"/>
                <w:sz w:val="18"/>
                <w:szCs w:val="18"/>
              </w:rPr>
              <w:t>包含</w:t>
            </w:r>
            <w:r>
              <w:rPr>
                <w:rFonts w:hint="eastAsia" w:hAnsi="宋体" w:cs="宋体"/>
                <w:sz w:val="18"/>
                <w:szCs w:val="18"/>
                <w:lang w:val="en-US" w:eastAsia="zh-CN"/>
              </w:rPr>
              <w:t>12</w:t>
            </w:r>
            <w:r>
              <w:rPr>
                <w:rFonts w:hint="eastAsia" w:hAnsi="宋体" w:cs="宋体"/>
                <w:sz w:val="18"/>
                <w:szCs w:val="18"/>
              </w:rPr>
              <w:t>份实训指导书、</w:t>
            </w:r>
            <w:r>
              <w:rPr>
                <w:rFonts w:hint="eastAsia" w:hAnsi="宋体" w:cs="宋体"/>
                <w:sz w:val="18"/>
                <w:szCs w:val="18"/>
                <w:lang w:val="en-US" w:eastAsia="zh-CN"/>
              </w:rPr>
              <w:t>4</w:t>
            </w:r>
            <w:r>
              <w:rPr>
                <w:rFonts w:hint="eastAsia" w:hAnsi="宋体" w:cs="宋体"/>
                <w:sz w:val="18"/>
                <w:szCs w:val="18"/>
              </w:rPr>
              <w:t>份数据</w:t>
            </w:r>
            <w:r>
              <w:rPr>
                <w:rFonts w:hint="eastAsia" w:hAnsi="宋体" w:cs="宋体"/>
                <w:sz w:val="18"/>
                <w:szCs w:val="18"/>
                <w:lang w:eastAsia="zh-CN"/>
              </w:rPr>
              <w:t>、</w:t>
            </w:r>
            <w:r>
              <w:rPr>
                <w:rFonts w:hint="eastAsia" w:hAnsi="宋体" w:cs="宋体"/>
                <w:sz w:val="18"/>
                <w:szCs w:val="18"/>
                <w:lang w:val="en-US" w:eastAsia="zh-CN"/>
              </w:rPr>
              <w:t>1份论文仿写设计报告模板</w:t>
            </w:r>
            <w:r>
              <w:rPr>
                <w:rFonts w:hint="eastAsia" w:hAnsi="宋体" w:cs="宋体"/>
                <w:sz w:val="18"/>
                <w:szCs w:val="18"/>
              </w:rPr>
              <w:t>。</w:t>
            </w:r>
          </w:p>
        </w:tc>
      </w:tr>
      <w:tr w14:paraId="11CBD4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34" w:type="dxa"/>
            <w:noWrap w:val="0"/>
            <w:vAlign w:val="center"/>
          </w:tcPr>
          <w:p w14:paraId="1350F13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sz w:val="18"/>
                <w:szCs w:val="18"/>
              </w:rPr>
            </w:pPr>
            <w:r>
              <w:rPr>
                <w:rFonts w:hint="eastAsia" w:hAnsi="宋体" w:cs="宋体"/>
                <w:sz w:val="18"/>
                <w:szCs w:val="18"/>
              </w:rPr>
              <w:t>技能点</w:t>
            </w:r>
          </w:p>
        </w:tc>
        <w:tc>
          <w:tcPr>
            <w:tcW w:w="7008" w:type="dxa"/>
            <w:noWrap w:val="0"/>
            <w:vAlign w:val="center"/>
          </w:tcPr>
          <w:p w14:paraId="6356A00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left"/>
              <w:textAlignment w:val="auto"/>
              <w:rPr>
                <w:rFonts w:hint="eastAsia" w:hAnsi="宋体" w:cs="宋体"/>
                <w:sz w:val="18"/>
                <w:szCs w:val="18"/>
              </w:rPr>
            </w:pPr>
            <w:r>
              <w:rPr>
                <w:rFonts w:hint="eastAsia" w:hAnsi="宋体" w:cs="宋体"/>
                <w:sz w:val="18"/>
                <w:szCs w:val="18"/>
                <w:lang w:val="en-US" w:eastAsia="zh-CN"/>
              </w:rPr>
              <w:t>高效掌握倾向得分匹配+双重差分建模技巧与论文写作技巧</w:t>
            </w:r>
          </w:p>
        </w:tc>
      </w:tr>
      <w:tr w14:paraId="10B417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2" w:hRule="atLeast"/>
          <w:jc w:val="center"/>
        </w:trPr>
        <w:tc>
          <w:tcPr>
            <w:tcW w:w="1534" w:type="dxa"/>
            <w:noWrap w:val="0"/>
            <w:vAlign w:val="center"/>
          </w:tcPr>
          <w:p w14:paraId="2E17B99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sz w:val="18"/>
                <w:szCs w:val="18"/>
              </w:rPr>
            </w:pPr>
            <w:r>
              <w:rPr>
                <w:rFonts w:hint="eastAsia" w:hAnsi="宋体" w:cs="宋体"/>
                <w:sz w:val="18"/>
                <w:szCs w:val="18"/>
                <w:lang w:val="en-US" w:eastAsia="zh-CN"/>
              </w:rPr>
              <w:t>操作复现</w:t>
            </w:r>
          </w:p>
        </w:tc>
        <w:tc>
          <w:tcPr>
            <w:tcW w:w="7008" w:type="dxa"/>
            <w:noWrap w:val="0"/>
            <w:vAlign w:val="center"/>
          </w:tcPr>
          <w:p w14:paraId="011A6A3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left"/>
              <w:textAlignment w:val="auto"/>
              <w:rPr>
                <w:rFonts w:hint="eastAsia" w:hAnsi="宋体" w:cs="宋体"/>
                <w:sz w:val="18"/>
                <w:szCs w:val="18"/>
              </w:rPr>
            </w:pPr>
            <w:r>
              <w:rPr>
                <w:rFonts w:hint="eastAsia" w:hAnsi="宋体" w:cs="宋体"/>
                <w:sz w:val="18"/>
                <w:szCs w:val="18"/>
              </w:rPr>
              <w:t>延付高管薪酬对银行风险承担的政策效应—基于银行盈余管理动机视角的PSM-DID分析</w:t>
            </w:r>
          </w:p>
        </w:tc>
      </w:tr>
    </w:tbl>
    <w:p w14:paraId="388E00AC">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倾向得分匹配（Propensity Score Matching, PSM）是一种用于处理选择性偏差的统计方法，通过构建处理组和对照组在可观测特征上的相似性，模拟随机实验。其核心思想是估计个体接受处理的概率（倾向得分），并根据得分匹配处理组和对照组。</w:t>
      </w:r>
    </w:p>
    <w:p w14:paraId="167EB616">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步骤：</w:t>
      </w:r>
    </w:p>
    <w:p w14:paraId="764A66E9">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估计倾向得分：使用Logit或Probit模型预测个体接受处理的概率。</w:t>
      </w:r>
    </w:p>
    <w:p w14:paraId="1A4B853B">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匹配处理组和对照组：根据倾向得分进行匹配（如最近邻匹配、核匹配等）。</w:t>
      </w:r>
    </w:p>
    <w:p w14:paraId="7F3FDD58">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比较匹配后的处理组和对照组的结果变量。</w:t>
      </w:r>
    </w:p>
    <w:p w14:paraId="387C73D8">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双重差分模型（Difference-in-Differences, DID）通过比较处理组和对照组在政策实施前后的变化差异，识别因果关系。</w:t>
      </w:r>
    </w:p>
    <w:p w14:paraId="5CB3F668">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PSM+DID的结合</w:t>
      </w:r>
    </w:p>
    <w:p w14:paraId="0EFB58A2">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目的：通过PSM消除处理组和对照组在政策实施前的选择性偏差，再通过DID识别政策效果。</w:t>
      </w:r>
    </w:p>
    <w:p w14:paraId="14CFFA71">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优势：结合PSM的控制选择性偏差能力和DID的因果推断能力，提高估计的准确性。</w:t>
      </w:r>
    </w:p>
    <w:p w14:paraId="30A55454">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PSM+DID的优势与局限性：</w:t>
      </w:r>
    </w:p>
    <w:p w14:paraId="0569E075">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控制选择性偏差：通过PSM消除处理组和对照组在政策实施前的选择性偏差。</w:t>
      </w:r>
    </w:p>
    <w:p w14:paraId="1B975F85">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因果推断能力强：通过DID识别政策效果的净效应。</w:t>
      </w:r>
    </w:p>
    <w:p w14:paraId="42BD456F">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适用性广：适用于多种政策评估场景，尤其在无法进行随机实验时表现突出。</w:t>
      </w:r>
    </w:p>
    <w:p w14:paraId="782864F6">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数据要求高：需要足够多的可观测特征进行倾向得分匹配，否则可能导致匹配不准确。</w:t>
      </w:r>
    </w:p>
    <w:p w14:paraId="107D49E4">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平行趋势假设严格：需检验处理组和对照组在政策实施前的趋势是否一致，否则可能导致估计偏差。</w:t>
      </w:r>
    </w:p>
    <w:p w14:paraId="3C8451B5">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混杂事件干扰：若研究期内发生其他重大事件，可能干扰政策效果的识别。</w:t>
      </w:r>
    </w:p>
    <w:p w14:paraId="01EC0258">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PSM+DID是一种强大的工具，适用于评估政策或干预措施的效果，尤其在政策评估、公共卫生干预、教育政策研究等领域具有重要应用价值。通过结合PSM的控制选择性偏差能力和DID的因果推断能力，能够更准确地识别政策效果的净效应。在实际应用中，需合理选择匹配变量，检验平行趋势假设，并通过稳健性分析确保结果的可靠性。</w:t>
      </w:r>
    </w:p>
    <w:p w14:paraId="50B3A641">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案例内容</w:t>
      </w:r>
    </w:p>
    <w:p w14:paraId="0C44F569">
      <w:pPr>
        <w:pageBreakBefore w:val="0"/>
        <w:widowControl w:val="0"/>
        <w:tabs>
          <w:tab w:val="left" w:pos="1320"/>
        </w:tabs>
        <w:kinsoku/>
        <w:wordWrap/>
        <w:overflowPunct/>
        <w:topLinePunct w:val="0"/>
        <w:autoSpaceDE/>
        <w:autoSpaceDN/>
        <w:bidi w:val="0"/>
        <w:adjustRightInd w:val="0"/>
        <w:snapToGrid w:val="0"/>
        <w:spacing w:beforeAutospacing="0" w:afterAutospacing="0" w:line="360" w:lineRule="auto"/>
        <w:ind w:right="0" w:firstLine="0" w:firstLineChars="0"/>
        <w:jc w:val="center"/>
        <w:textAlignment w:val="auto"/>
        <w:rPr>
          <w:rFonts w:hint="eastAsia" w:ascii="宋体" w:hAnsi="宋体" w:eastAsia="宋体" w:cs="宋体"/>
          <w:sz w:val="18"/>
          <w:szCs w:val="18"/>
          <w:lang w:val="en-US" w:eastAsia="zh-CN" w:bidi="ar"/>
        </w:rPr>
      </w:pPr>
      <w:r>
        <w:rPr>
          <w:rFonts w:hint="eastAsia" w:ascii="宋体" w:hAnsi="宋体" w:eastAsia="宋体" w:cs="宋体"/>
          <w:sz w:val="18"/>
          <w:szCs w:val="18"/>
          <w:lang w:bidi="ar"/>
        </w:rPr>
        <w:t>表</w:t>
      </w:r>
      <w:r>
        <w:rPr>
          <w:rFonts w:hint="eastAsia" w:ascii="宋体" w:hAnsi="宋体" w:cs="宋体"/>
          <w:sz w:val="18"/>
          <w:szCs w:val="18"/>
          <w:lang w:val="en-US" w:eastAsia="zh-CN" w:bidi="ar"/>
        </w:rPr>
        <w:t>10</w:t>
      </w:r>
      <w:r>
        <w:rPr>
          <w:rFonts w:hint="eastAsia" w:ascii="宋体" w:hAnsi="宋体" w:eastAsia="宋体" w:cs="宋体"/>
          <w:sz w:val="18"/>
          <w:szCs w:val="18"/>
          <w:lang w:bidi="ar"/>
        </w:rPr>
        <w:t xml:space="preserve"> 倾向得分匹配+双重差分（延付高管薪酬对银行风险承担的政策效应—基于银行盈余管理动机视角的PSM-DID分析）</w:t>
      </w:r>
    </w:p>
    <w:tbl>
      <w:tblPr>
        <w:tblStyle w:val="18"/>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591516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095" w:type="dxa"/>
            <w:shd w:val="clear" w:color="auto" w:fill="E6E6E6"/>
            <w:noWrap w:val="0"/>
            <w:vAlign w:val="center"/>
          </w:tcPr>
          <w:p w14:paraId="322F169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一级模块</w:t>
            </w:r>
          </w:p>
        </w:tc>
        <w:tc>
          <w:tcPr>
            <w:tcW w:w="1240" w:type="dxa"/>
            <w:shd w:val="clear" w:color="auto" w:fill="E6E6E6"/>
            <w:noWrap w:val="0"/>
            <w:vAlign w:val="center"/>
          </w:tcPr>
          <w:p w14:paraId="21E4E8D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二级模块</w:t>
            </w:r>
          </w:p>
        </w:tc>
        <w:tc>
          <w:tcPr>
            <w:tcW w:w="5058" w:type="dxa"/>
            <w:shd w:val="clear" w:color="auto" w:fill="E6E6E6"/>
            <w:noWrap w:val="0"/>
            <w:vAlign w:val="center"/>
          </w:tcPr>
          <w:p w14:paraId="54230CF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实验项目名称</w:t>
            </w:r>
          </w:p>
        </w:tc>
        <w:tc>
          <w:tcPr>
            <w:tcW w:w="1356" w:type="dxa"/>
            <w:shd w:val="clear" w:color="auto" w:fill="E6E6E6"/>
            <w:noWrap w:val="0"/>
            <w:vAlign w:val="center"/>
          </w:tcPr>
          <w:p w14:paraId="63EFE26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涉及平台</w:t>
            </w:r>
          </w:p>
        </w:tc>
      </w:tr>
      <w:tr w14:paraId="35183C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restart"/>
            <w:noWrap w:val="0"/>
            <w:vAlign w:val="center"/>
          </w:tcPr>
          <w:p w14:paraId="0F6D419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p w14:paraId="2CEFC2B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倾向得分匹配+双重差分（延付高管薪酬对银行风险承担的政策效应—基于银行盈余管理动机视角的PSM-DID分析）</w:t>
            </w:r>
          </w:p>
        </w:tc>
        <w:tc>
          <w:tcPr>
            <w:tcW w:w="1240" w:type="dxa"/>
            <w:vMerge w:val="restart"/>
            <w:noWrap w:val="0"/>
            <w:vAlign w:val="center"/>
          </w:tcPr>
          <w:p w14:paraId="7BD3865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实验准备</w:t>
            </w:r>
          </w:p>
        </w:tc>
        <w:tc>
          <w:tcPr>
            <w:tcW w:w="5058" w:type="dxa"/>
            <w:noWrap w:val="0"/>
            <w:vAlign w:val="center"/>
          </w:tcPr>
          <w:p w14:paraId="0A1B329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textAlignment w:val="auto"/>
              <w:rPr>
                <w:rFonts w:hint="eastAsia" w:ascii="宋体" w:hAnsi="宋体" w:eastAsia="宋体" w:cs="宋体"/>
                <w:color w:val="FF0000"/>
                <w:spacing w:val="10"/>
                <w:sz w:val="18"/>
                <w:szCs w:val="18"/>
                <w:lang w:val="en-US" w:eastAsia="zh-CN"/>
              </w:rPr>
            </w:pPr>
            <w:r>
              <w:rPr>
                <w:rFonts w:hint="eastAsia" w:ascii="宋体" w:hAnsi="宋体" w:eastAsia="宋体" w:cs="宋体"/>
                <w:sz w:val="18"/>
                <w:szCs w:val="18"/>
                <w:lang w:val="en-US" w:eastAsia="zh-CN"/>
              </w:rPr>
              <w:t>打开并登录平台学习案例相关理论知识</w:t>
            </w:r>
          </w:p>
        </w:tc>
        <w:tc>
          <w:tcPr>
            <w:tcW w:w="1356" w:type="dxa"/>
            <w:vMerge w:val="restart"/>
            <w:noWrap w:val="0"/>
            <w:vAlign w:val="center"/>
          </w:tcPr>
          <w:p w14:paraId="4E0E4B2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lang w:eastAsia="zh-CN"/>
              </w:rPr>
            </w:pPr>
            <w:r>
              <w:rPr>
                <w:rFonts w:hint="eastAsia" w:hAnsi="宋体" w:cs="宋体"/>
                <w:sz w:val="18"/>
                <w:szCs w:val="18"/>
                <w:lang w:eastAsia="zh-CN"/>
              </w:rPr>
              <w:t>AI金融计量教学平台</w:t>
            </w:r>
          </w:p>
        </w:tc>
      </w:tr>
      <w:tr w14:paraId="721F3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6DB8BB9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47F78AD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center"/>
          </w:tcPr>
          <w:p w14:paraId="21E8BA5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textAlignment w:val="auto"/>
              <w:rPr>
                <w:rFonts w:hint="eastAsia" w:ascii="宋体" w:hAnsi="宋体" w:eastAsia="宋体" w:cs="宋体"/>
                <w:color w:val="FF0000"/>
                <w:spacing w:val="10"/>
                <w:sz w:val="18"/>
                <w:szCs w:val="18"/>
                <w:lang w:val="en-US" w:eastAsia="zh-CN"/>
              </w:rPr>
            </w:pPr>
            <w:r>
              <w:rPr>
                <w:rFonts w:hint="eastAsia" w:ascii="宋体" w:hAnsi="宋体" w:eastAsia="宋体" w:cs="宋体"/>
                <w:sz w:val="18"/>
                <w:szCs w:val="18"/>
                <w:lang w:val="en-US" w:eastAsia="zh-CN"/>
              </w:rPr>
              <w:t>准备案例相关数据</w:t>
            </w:r>
          </w:p>
        </w:tc>
        <w:tc>
          <w:tcPr>
            <w:tcW w:w="1356" w:type="dxa"/>
            <w:vMerge w:val="continue"/>
            <w:noWrap w:val="0"/>
            <w:vAlign w:val="center"/>
          </w:tcPr>
          <w:p w14:paraId="246C385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pacing w:val="10"/>
                <w:sz w:val="18"/>
                <w:szCs w:val="18"/>
              </w:rPr>
            </w:pPr>
          </w:p>
        </w:tc>
      </w:tr>
      <w:tr w14:paraId="0A580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72EDDB5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5D5FCAE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center"/>
          </w:tcPr>
          <w:p w14:paraId="24CB889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textAlignment w:val="auto"/>
              <w:rPr>
                <w:rFonts w:hint="eastAsia" w:ascii="宋体" w:hAnsi="宋体" w:eastAsia="宋体" w:cs="宋体"/>
                <w:color w:val="FF0000"/>
                <w:spacing w:val="10"/>
                <w:sz w:val="18"/>
                <w:szCs w:val="18"/>
                <w:lang w:val="en-US" w:eastAsia="zh-CN"/>
              </w:rPr>
            </w:pPr>
            <w:r>
              <w:rPr>
                <w:rFonts w:hint="eastAsia" w:ascii="宋体" w:hAnsi="宋体" w:eastAsia="宋体" w:cs="宋体"/>
                <w:sz w:val="18"/>
                <w:szCs w:val="18"/>
                <w:lang w:val="en-US" w:eastAsia="zh-CN"/>
              </w:rPr>
              <w:t>准备仿写文档</w:t>
            </w:r>
          </w:p>
        </w:tc>
        <w:tc>
          <w:tcPr>
            <w:tcW w:w="1356" w:type="dxa"/>
            <w:vMerge w:val="continue"/>
            <w:noWrap w:val="0"/>
            <w:vAlign w:val="center"/>
          </w:tcPr>
          <w:p w14:paraId="06CCB40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pacing w:val="10"/>
                <w:sz w:val="18"/>
                <w:szCs w:val="18"/>
              </w:rPr>
            </w:pPr>
          </w:p>
        </w:tc>
      </w:tr>
      <w:tr w14:paraId="76BE2D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010AA9A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52DE505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rPr>
              <w:t>实施</w:t>
            </w:r>
            <w:r>
              <w:rPr>
                <w:rFonts w:hint="eastAsia" w:hAnsi="宋体" w:cs="宋体"/>
                <w:sz w:val="18"/>
                <w:szCs w:val="18"/>
                <w:lang w:val="en-US" w:eastAsia="zh-CN"/>
              </w:rPr>
              <w:t>步骤</w:t>
            </w:r>
          </w:p>
        </w:tc>
        <w:tc>
          <w:tcPr>
            <w:tcW w:w="5058" w:type="dxa"/>
            <w:noWrap w:val="0"/>
            <w:vAlign w:val="center"/>
          </w:tcPr>
          <w:p w14:paraId="61B007A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延付高管薪酬影响银行收益波动性</w:t>
            </w:r>
          </w:p>
        </w:tc>
        <w:tc>
          <w:tcPr>
            <w:tcW w:w="1356" w:type="dxa"/>
            <w:vMerge w:val="continue"/>
            <w:noWrap w:val="0"/>
            <w:vAlign w:val="center"/>
          </w:tcPr>
          <w:p w14:paraId="57F19C6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15B9A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243D2DE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27DF7EC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3782210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延付高管薪酬对银行盈余管理动机影响的DID实验</w:t>
            </w:r>
          </w:p>
        </w:tc>
        <w:tc>
          <w:tcPr>
            <w:tcW w:w="1356" w:type="dxa"/>
            <w:vMerge w:val="continue"/>
            <w:noWrap w:val="0"/>
            <w:vAlign w:val="center"/>
          </w:tcPr>
          <w:p w14:paraId="64A70AC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568A2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23F2931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5A98C4D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18154FD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b w:val="0"/>
                <w:kern w:val="2"/>
                <w:sz w:val="18"/>
                <w:szCs w:val="18"/>
                <w:lang w:val="en-US" w:eastAsia="zh-CN" w:bidi="ar"/>
              </w:rPr>
            </w:pPr>
            <w:r>
              <w:rPr>
                <w:rFonts w:hint="eastAsia" w:ascii="宋体" w:hAnsi="宋体" w:eastAsia="宋体" w:cs="宋体"/>
                <w:b w:val="0"/>
                <w:kern w:val="2"/>
                <w:sz w:val="18"/>
                <w:szCs w:val="18"/>
                <w:lang w:val="en-US" w:eastAsia="zh-CN" w:bidi="ar"/>
              </w:rPr>
              <w:t>延付高管薪酬对银行收益波动性的动态边际影响效应</w:t>
            </w:r>
          </w:p>
        </w:tc>
        <w:tc>
          <w:tcPr>
            <w:tcW w:w="1356" w:type="dxa"/>
            <w:vMerge w:val="continue"/>
            <w:noWrap w:val="0"/>
            <w:vAlign w:val="center"/>
          </w:tcPr>
          <w:p w14:paraId="06188DD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0703F6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1AC5B83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12CED3A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608DD2C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2010年实施延付高管薪酬银行的匹配平衡检验结果（2010-2013）</w:t>
            </w:r>
          </w:p>
        </w:tc>
        <w:tc>
          <w:tcPr>
            <w:tcW w:w="1356" w:type="dxa"/>
            <w:vMerge w:val="continue"/>
            <w:noWrap w:val="0"/>
            <w:vAlign w:val="center"/>
          </w:tcPr>
          <w:p w14:paraId="799DD09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66FE31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71444BF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57AB0AF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6A36AE7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2010年实施延付高管薪酬银行的匹配平衡检验结果（2010-2012）</w:t>
            </w:r>
          </w:p>
        </w:tc>
        <w:tc>
          <w:tcPr>
            <w:tcW w:w="1356" w:type="dxa"/>
            <w:vMerge w:val="continue"/>
            <w:noWrap w:val="0"/>
            <w:vAlign w:val="center"/>
          </w:tcPr>
          <w:p w14:paraId="484AC65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116DE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6C554F1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2A0A482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10E8DD5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延付高管薪酬影响银行收益波动性的稳健性检验（2010-2012年）—平均处理效应</w:t>
            </w:r>
          </w:p>
        </w:tc>
        <w:tc>
          <w:tcPr>
            <w:tcW w:w="1356" w:type="dxa"/>
            <w:vMerge w:val="continue"/>
            <w:noWrap w:val="0"/>
            <w:vAlign w:val="center"/>
          </w:tcPr>
          <w:p w14:paraId="6433BAA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48E3FB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40349C8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18B7E05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4BA174C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延付高管薪酬对银行收益波动性的动态边际影响效应（2010-2012年）</w:t>
            </w:r>
          </w:p>
        </w:tc>
        <w:tc>
          <w:tcPr>
            <w:tcW w:w="1356" w:type="dxa"/>
            <w:vMerge w:val="continue"/>
            <w:noWrap w:val="0"/>
            <w:vAlign w:val="center"/>
          </w:tcPr>
          <w:p w14:paraId="778B8DC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68E83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549CDBF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4CEBC94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17B1B61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延付高管薪酬对银行盈余管理动机影响的稳健性检验（2010-2012 年）</w:t>
            </w:r>
          </w:p>
        </w:tc>
        <w:tc>
          <w:tcPr>
            <w:tcW w:w="1356" w:type="dxa"/>
            <w:vMerge w:val="continue"/>
            <w:noWrap w:val="0"/>
            <w:vAlign w:val="center"/>
          </w:tcPr>
          <w:p w14:paraId="7A7C8EA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6B425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7DF6E4A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6B06B28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24FEF1C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延付高管薪酬影响银行收益波动性的稳健性检验（2010-2012年）—平均处理效应</w:t>
            </w:r>
          </w:p>
        </w:tc>
        <w:tc>
          <w:tcPr>
            <w:tcW w:w="1356" w:type="dxa"/>
            <w:vMerge w:val="continue"/>
            <w:noWrap w:val="0"/>
            <w:vAlign w:val="center"/>
          </w:tcPr>
          <w:p w14:paraId="15B5051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1EE70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49CD7E5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3445F0F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1BDC678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延付高管薪酬影响银行收益波动性的稳健性检验</w:t>
            </w:r>
          </w:p>
        </w:tc>
        <w:tc>
          <w:tcPr>
            <w:tcW w:w="1356" w:type="dxa"/>
            <w:vMerge w:val="continue"/>
            <w:noWrap w:val="0"/>
            <w:vAlign w:val="center"/>
          </w:tcPr>
          <w:p w14:paraId="781EF40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5EC80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208CDE7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0ED9D89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1DAA9A9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延付高管薪酬对银行盈余管理动机影响的稳健性检验（2010-2011 年）</w:t>
            </w:r>
          </w:p>
        </w:tc>
        <w:tc>
          <w:tcPr>
            <w:tcW w:w="1356" w:type="dxa"/>
            <w:vMerge w:val="continue"/>
            <w:noWrap w:val="0"/>
            <w:vAlign w:val="center"/>
          </w:tcPr>
          <w:p w14:paraId="0CCE89C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6CC92A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6B0D3FD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330DE8D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r>
              <w:rPr>
                <w:rFonts w:hint="eastAsia" w:ascii="宋体" w:hAnsi="宋体" w:eastAsia="宋体" w:cs="宋体"/>
                <w:sz w:val="18"/>
                <w:szCs w:val="18"/>
              </w:rPr>
              <w:t>实验总结</w:t>
            </w:r>
          </w:p>
        </w:tc>
        <w:tc>
          <w:tcPr>
            <w:tcW w:w="5058" w:type="dxa"/>
            <w:noWrap w:val="0"/>
            <w:vAlign w:val="center"/>
          </w:tcPr>
          <w:p w14:paraId="01BF2E3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hAnsi="宋体" w:cs="宋体"/>
                <w:spacing w:val="10"/>
                <w:sz w:val="18"/>
                <w:szCs w:val="18"/>
                <w:lang w:val="en-US" w:eastAsia="zh-CN"/>
              </w:rPr>
              <w:t>复现</w:t>
            </w:r>
            <w:r>
              <w:rPr>
                <w:rFonts w:hint="eastAsia" w:ascii="宋体" w:hAnsi="宋体" w:eastAsia="宋体" w:cs="宋体"/>
                <w:spacing w:val="10"/>
                <w:sz w:val="18"/>
                <w:szCs w:val="18"/>
                <w:lang w:val="en-US" w:eastAsia="zh-CN"/>
              </w:rPr>
              <w:t>完整案例及模型方法</w:t>
            </w:r>
          </w:p>
        </w:tc>
        <w:tc>
          <w:tcPr>
            <w:tcW w:w="1356" w:type="dxa"/>
            <w:vMerge w:val="continue"/>
            <w:noWrap w:val="0"/>
            <w:vAlign w:val="center"/>
          </w:tcPr>
          <w:p w14:paraId="5701EFC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0A4B83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5217F3A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562756D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2DF24B2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hAnsi="宋体" w:cs="宋体"/>
                <w:spacing w:val="10"/>
                <w:sz w:val="18"/>
                <w:szCs w:val="18"/>
                <w:lang w:val="en-US" w:eastAsia="zh-CN"/>
              </w:rPr>
            </w:pPr>
            <w:r>
              <w:rPr>
                <w:rFonts w:hint="eastAsia" w:hAnsi="宋体" w:cs="宋体"/>
                <w:spacing w:val="10"/>
                <w:sz w:val="18"/>
                <w:szCs w:val="18"/>
                <w:lang w:val="en-US" w:eastAsia="zh-CN"/>
              </w:rPr>
              <w:t>总结倾向得分匹配+双重差分</w:t>
            </w:r>
            <w:r>
              <w:rPr>
                <w:rFonts w:hint="eastAsia" w:ascii="宋体" w:hAnsi="宋体" w:eastAsia="宋体" w:cs="宋体"/>
                <w:spacing w:val="10"/>
                <w:sz w:val="18"/>
                <w:szCs w:val="18"/>
                <w:lang w:val="en-US" w:eastAsia="zh-CN"/>
              </w:rPr>
              <w:t>建模技巧与论文写作技巧</w:t>
            </w:r>
          </w:p>
        </w:tc>
        <w:tc>
          <w:tcPr>
            <w:tcW w:w="1356" w:type="dxa"/>
            <w:vMerge w:val="continue"/>
            <w:noWrap w:val="0"/>
            <w:vAlign w:val="center"/>
          </w:tcPr>
          <w:p w14:paraId="7F8F054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bl>
    <w:p w14:paraId="2699EF27">
      <w:pPr>
        <w:pStyle w:val="6"/>
        <w:keepNext/>
        <w:keepLines/>
        <w:pageBreakBefore w:val="0"/>
        <w:widowControl w:val="0"/>
        <w:numPr>
          <w:ilvl w:val="1"/>
          <w:numId w:val="16"/>
        </w:numPr>
        <w:tabs>
          <w:tab w:val="left" w:pos="1320"/>
        </w:tabs>
        <w:kinsoku/>
        <w:wordWrap/>
        <w:overflowPunct/>
        <w:topLinePunct w:val="0"/>
        <w:autoSpaceDE/>
        <w:autoSpaceDN/>
        <w:bidi w:val="0"/>
        <w:adjustRightInd w:val="0"/>
        <w:snapToGrid w:val="0"/>
        <w:spacing w:beforeAutospacing="0" w:afterAutospacing="0" w:line="360" w:lineRule="auto"/>
        <w:ind w:left="0" w:right="0" w:firstLine="422" w:firstLineChars="200"/>
        <w:textAlignment w:val="auto"/>
        <w:outlineLvl w:val="2"/>
        <w:rPr>
          <w:rFonts w:hint="eastAsia" w:ascii="宋体" w:hAnsi="宋体" w:eastAsia="宋体" w:cs="宋体"/>
          <w:b/>
          <w:sz w:val="21"/>
          <w:szCs w:val="21"/>
          <w:lang w:val="en-US" w:eastAsia="zh-CN"/>
        </w:rPr>
      </w:pPr>
      <w:bookmarkStart w:id="52" w:name="_Toc27239"/>
      <w:r>
        <w:rPr>
          <w:rFonts w:hint="eastAsia" w:ascii="宋体" w:hAnsi="宋体" w:eastAsia="宋体" w:cs="宋体"/>
          <w:b/>
          <w:sz w:val="21"/>
          <w:szCs w:val="21"/>
          <w:lang w:val="en-US" w:eastAsia="zh-CN"/>
        </w:rPr>
        <w:t>双重差分+三重差分（排污权交易机制是否提高了企业全要素生产率——来自中国上市公司的证据）</w:t>
      </w:r>
      <w:bookmarkEnd w:id="52"/>
    </w:p>
    <w:p w14:paraId="7521BDA6">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案例概述</w:t>
      </w:r>
    </w:p>
    <w:p w14:paraId="7BD3EFAE">
      <w:pPr>
        <w:pageBreakBefore w:val="0"/>
        <w:widowControl w:val="0"/>
        <w:kinsoku/>
        <w:wordWrap/>
        <w:overflowPunct/>
        <w:topLinePunct w:val="0"/>
        <w:autoSpaceDE/>
        <w:autoSpaceDN/>
        <w:bidi w:val="0"/>
        <w:adjustRightInd w:val="0"/>
        <w:snapToGrid w:val="0"/>
        <w:spacing w:beforeAutospacing="0" w:afterAutospacing="0" w:line="360" w:lineRule="auto"/>
        <w:ind w:right="0" w:firstLine="360"/>
        <w:jc w:val="center"/>
        <w:textAlignment w:val="auto"/>
        <w:rPr>
          <w:rFonts w:hint="eastAsia" w:ascii="宋体" w:hAnsi="宋体" w:eastAsia="宋体" w:cs="宋体"/>
          <w:sz w:val="18"/>
          <w:szCs w:val="18"/>
          <w:lang w:val="en-US" w:eastAsia="zh-CN" w:bidi="ar"/>
        </w:rPr>
      </w:pPr>
      <w:r>
        <w:rPr>
          <w:rFonts w:hint="eastAsia" w:ascii="宋体" w:hAnsi="宋体" w:eastAsia="宋体" w:cs="宋体"/>
          <w:sz w:val="18"/>
          <w:szCs w:val="18"/>
          <w:lang w:bidi="ar"/>
        </w:rPr>
        <w:t>表</w:t>
      </w:r>
      <w:r>
        <w:rPr>
          <w:rFonts w:hint="eastAsia" w:ascii="宋体" w:hAnsi="宋体" w:cs="宋体"/>
          <w:sz w:val="18"/>
          <w:szCs w:val="18"/>
          <w:lang w:val="en-US" w:eastAsia="zh-CN" w:bidi="ar"/>
        </w:rPr>
        <w:t>11</w:t>
      </w:r>
      <w:r>
        <w:rPr>
          <w:rFonts w:hint="eastAsia" w:ascii="宋体" w:hAnsi="宋体" w:eastAsia="宋体" w:cs="宋体"/>
          <w:sz w:val="18"/>
          <w:szCs w:val="18"/>
          <w:lang w:bidi="ar"/>
        </w:rPr>
        <w:t xml:space="preserve"> 案例</w:t>
      </w:r>
      <w:r>
        <w:rPr>
          <w:rFonts w:hint="eastAsia" w:ascii="宋体" w:hAnsi="宋体" w:eastAsia="宋体" w:cs="宋体"/>
          <w:sz w:val="18"/>
          <w:szCs w:val="18"/>
          <w:lang w:val="en-US" w:eastAsia="zh-CN" w:bidi="ar"/>
        </w:rPr>
        <w:t>概述</w:t>
      </w:r>
    </w:p>
    <w:tbl>
      <w:tblPr>
        <w:tblStyle w:val="39"/>
        <w:tblW w:w="5012"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34"/>
        <w:gridCol w:w="7008"/>
      </w:tblGrid>
      <w:tr w14:paraId="5616C81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1534" w:type="dxa"/>
            <w:noWrap w:val="0"/>
            <w:vAlign w:val="center"/>
          </w:tcPr>
          <w:p w14:paraId="1D05596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b/>
                <w:bCs/>
                <w:sz w:val="18"/>
                <w:szCs w:val="18"/>
              </w:rPr>
            </w:pPr>
            <w:r>
              <w:rPr>
                <w:rFonts w:hint="eastAsia" w:hAnsi="宋体" w:cs="宋体"/>
                <w:b/>
                <w:bCs/>
                <w:sz w:val="18"/>
                <w:szCs w:val="18"/>
              </w:rPr>
              <w:t>模块</w:t>
            </w:r>
          </w:p>
        </w:tc>
        <w:tc>
          <w:tcPr>
            <w:tcW w:w="7008" w:type="dxa"/>
            <w:noWrap w:val="0"/>
            <w:vAlign w:val="center"/>
          </w:tcPr>
          <w:p w14:paraId="469124B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b/>
                <w:bCs/>
                <w:sz w:val="18"/>
                <w:szCs w:val="18"/>
              </w:rPr>
            </w:pPr>
            <w:r>
              <w:rPr>
                <w:rFonts w:hint="eastAsia" w:hAnsi="宋体" w:cs="宋体"/>
                <w:b/>
                <w:bCs/>
                <w:sz w:val="18"/>
                <w:szCs w:val="18"/>
              </w:rPr>
              <w:t>模块内容</w:t>
            </w:r>
          </w:p>
        </w:tc>
      </w:tr>
      <w:tr w14:paraId="55AC826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34" w:type="dxa"/>
            <w:noWrap w:val="0"/>
            <w:vAlign w:val="center"/>
          </w:tcPr>
          <w:p w14:paraId="047147C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sz w:val="18"/>
                <w:szCs w:val="18"/>
              </w:rPr>
            </w:pPr>
            <w:r>
              <w:rPr>
                <w:rFonts w:hint="eastAsia" w:hAnsi="宋体" w:cs="宋体"/>
                <w:sz w:val="18"/>
                <w:szCs w:val="18"/>
              </w:rPr>
              <w:t>课时设置</w:t>
            </w:r>
          </w:p>
        </w:tc>
        <w:tc>
          <w:tcPr>
            <w:tcW w:w="7008" w:type="dxa"/>
            <w:noWrap w:val="0"/>
            <w:vAlign w:val="center"/>
          </w:tcPr>
          <w:p w14:paraId="0C6DB3A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both"/>
              <w:textAlignment w:val="auto"/>
              <w:rPr>
                <w:rFonts w:hint="eastAsia" w:hAnsi="宋体" w:cs="宋体"/>
                <w:sz w:val="18"/>
                <w:szCs w:val="18"/>
              </w:rPr>
            </w:pPr>
            <w:r>
              <w:rPr>
                <w:rFonts w:hint="eastAsia" w:hAnsi="宋体" w:cs="宋体"/>
                <w:sz w:val="18"/>
                <w:szCs w:val="18"/>
              </w:rPr>
              <w:t>理论教学4学时，实践教学4学时，总计8学时。</w:t>
            </w:r>
          </w:p>
        </w:tc>
      </w:tr>
      <w:tr w14:paraId="74E895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1534" w:type="dxa"/>
            <w:noWrap w:val="0"/>
            <w:vAlign w:val="center"/>
          </w:tcPr>
          <w:p w14:paraId="52CDFD1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sz w:val="18"/>
                <w:szCs w:val="18"/>
              </w:rPr>
            </w:pPr>
            <w:r>
              <w:rPr>
                <w:rFonts w:hint="eastAsia" w:hAnsi="宋体" w:cs="宋体"/>
                <w:sz w:val="18"/>
                <w:szCs w:val="18"/>
              </w:rPr>
              <w:t>案例资源</w:t>
            </w:r>
          </w:p>
        </w:tc>
        <w:tc>
          <w:tcPr>
            <w:tcW w:w="7008" w:type="dxa"/>
            <w:noWrap w:val="0"/>
            <w:vAlign w:val="center"/>
          </w:tcPr>
          <w:p w14:paraId="38D4571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left"/>
              <w:textAlignment w:val="auto"/>
              <w:rPr>
                <w:rFonts w:hint="eastAsia" w:hAnsi="宋体" w:cs="宋体"/>
                <w:sz w:val="18"/>
                <w:szCs w:val="18"/>
              </w:rPr>
            </w:pPr>
            <w:r>
              <w:rPr>
                <w:rFonts w:hint="eastAsia" w:hAnsi="宋体" w:cs="宋体"/>
                <w:sz w:val="18"/>
                <w:szCs w:val="18"/>
              </w:rPr>
              <w:t>包含</w:t>
            </w:r>
            <w:r>
              <w:rPr>
                <w:rFonts w:hint="eastAsia" w:hAnsi="宋体" w:cs="宋体"/>
                <w:sz w:val="18"/>
                <w:szCs w:val="18"/>
                <w:lang w:val="en-US" w:eastAsia="zh-CN"/>
              </w:rPr>
              <w:t>8</w:t>
            </w:r>
            <w:r>
              <w:rPr>
                <w:rFonts w:hint="eastAsia" w:hAnsi="宋体" w:cs="宋体"/>
                <w:sz w:val="18"/>
                <w:szCs w:val="18"/>
              </w:rPr>
              <w:t>份实训指导书、</w:t>
            </w:r>
            <w:r>
              <w:rPr>
                <w:rFonts w:hint="eastAsia" w:hAnsi="宋体" w:cs="宋体"/>
                <w:sz w:val="18"/>
                <w:szCs w:val="18"/>
                <w:lang w:val="en-US" w:eastAsia="zh-CN"/>
              </w:rPr>
              <w:t>3</w:t>
            </w:r>
            <w:r>
              <w:rPr>
                <w:rFonts w:hint="eastAsia" w:hAnsi="宋体" w:cs="宋体"/>
                <w:sz w:val="18"/>
                <w:szCs w:val="18"/>
              </w:rPr>
              <w:t>份数据</w:t>
            </w:r>
            <w:r>
              <w:rPr>
                <w:rFonts w:hint="eastAsia" w:hAnsi="宋体" w:cs="宋体"/>
                <w:sz w:val="18"/>
                <w:szCs w:val="18"/>
                <w:lang w:eastAsia="zh-CN"/>
              </w:rPr>
              <w:t>、</w:t>
            </w:r>
            <w:r>
              <w:rPr>
                <w:rFonts w:hint="eastAsia" w:hAnsi="宋体" w:cs="宋体"/>
                <w:sz w:val="18"/>
                <w:szCs w:val="18"/>
                <w:lang w:val="en-US" w:eastAsia="zh-CN"/>
              </w:rPr>
              <w:t>1份论文仿写设计报告模板</w:t>
            </w:r>
            <w:r>
              <w:rPr>
                <w:rFonts w:hint="eastAsia" w:hAnsi="宋体" w:cs="宋体"/>
                <w:sz w:val="18"/>
                <w:szCs w:val="18"/>
              </w:rPr>
              <w:t>。</w:t>
            </w:r>
          </w:p>
        </w:tc>
      </w:tr>
      <w:tr w14:paraId="3217A0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34" w:type="dxa"/>
            <w:noWrap w:val="0"/>
            <w:vAlign w:val="center"/>
          </w:tcPr>
          <w:p w14:paraId="3382BE6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sz w:val="18"/>
                <w:szCs w:val="18"/>
              </w:rPr>
            </w:pPr>
            <w:r>
              <w:rPr>
                <w:rFonts w:hint="eastAsia" w:hAnsi="宋体" w:cs="宋体"/>
                <w:sz w:val="18"/>
                <w:szCs w:val="18"/>
              </w:rPr>
              <w:t>技能点</w:t>
            </w:r>
          </w:p>
        </w:tc>
        <w:tc>
          <w:tcPr>
            <w:tcW w:w="7008" w:type="dxa"/>
            <w:noWrap w:val="0"/>
            <w:vAlign w:val="center"/>
          </w:tcPr>
          <w:p w14:paraId="2E7099D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left"/>
              <w:textAlignment w:val="auto"/>
              <w:rPr>
                <w:rFonts w:hint="eastAsia" w:hAnsi="宋体" w:cs="宋体"/>
                <w:sz w:val="18"/>
                <w:szCs w:val="18"/>
              </w:rPr>
            </w:pPr>
            <w:r>
              <w:rPr>
                <w:rFonts w:hint="eastAsia" w:hAnsi="宋体" w:cs="宋体"/>
                <w:sz w:val="18"/>
                <w:szCs w:val="18"/>
                <w:lang w:val="en-US" w:eastAsia="zh-CN"/>
              </w:rPr>
              <w:t>高效掌握双重差分+三重差分模型建模技巧与论文写作技巧</w:t>
            </w:r>
          </w:p>
        </w:tc>
      </w:tr>
      <w:tr w14:paraId="52F733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2" w:hRule="atLeast"/>
          <w:jc w:val="center"/>
        </w:trPr>
        <w:tc>
          <w:tcPr>
            <w:tcW w:w="1534" w:type="dxa"/>
            <w:noWrap w:val="0"/>
            <w:vAlign w:val="center"/>
          </w:tcPr>
          <w:p w14:paraId="0AD5116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sz w:val="18"/>
                <w:szCs w:val="18"/>
              </w:rPr>
            </w:pPr>
            <w:r>
              <w:rPr>
                <w:rFonts w:hint="eastAsia" w:hAnsi="宋体" w:cs="宋体"/>
                <w:sz w:val="18"/>
                <w:szCs w:val="18"/>
                <w:lang w:val="en-US" w:eastAsia="zh-CN"/>
              </w:rPr>
              <w:t>操作复现</w:t>
            </w:r>
          </w:p>
        </w:tc>
        <w:tc>
          <w:tcPr>
            <w:tcW w:w="7008" w:type="dxa"/>
            <w:noWrap w:val="0"/>
            <w:vAlign w:val="center"/>
          </w:tcPr>
          <w:p w14:paraId="5F8E3BA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left"/>
              <w:textAlignment w:val="auto"/>
              <w:rPr>
                <w:rFonts w:hint="eastAsia" w:hAnsi="宋体" w:cs="宋体"/>
                <w:sz w:val="18"/>
                <w:szCs w:val="18"/>
              </w:rPr>
            </w:pPr>
            <w:r>
              <w:rPr>
                <w:rFonts w:hint="eastAsia" w:hAnsi="宋体" w:cs="宋体"/>
                <w:sz w:val="18"/>
                <w:szCs w:val="18"/>
              </w:rPr>
              <w:t>排污权交易机制是否提高了企业全要素生产率——来自中国上市公司的证据</w:t>
            </w:r>
          </w:p>
        </w:tc>
      </w:tr>
    </w:tbl>
    <w:p w14:paraId="128342F5">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default" w:ascii="宋体" w:hAnsi="宋体" w:eastAsia="宋体" w:cs="宋体"/>
          <w:sz w:val="21"/>
          <w:szCs w:val="21"/>
          <w:lang w:val="en-US" w:eastAsia="zh-CN"/>
        </w:rPr>
      </w:pPr>
      <w:r>
        <w:rPr>
          <w:rFonts w:hint="default" w:ascii="宋体" w:hAnsi="宋体" w:eastAsia="宋体" w:cs="宋体"/>
          <w:sz w:val="21"/>
          <w:szCs w:val="21"/>
          <w:lang w:val="en-US" w:eastAsia="zh-CN"/>
        </w:rPr>
        <w:t>双重差分模型（Difference-in-Differences, DID）是一种用于评估政策或干预措施效果的计量经济学方法。其核心思想是通过比较处理组和对照组在政策实施前后的变化差异，识别因果关系。</w:t>
      </w:r>
    </w:p>
    <w:p w14:paraId="637F5CFE">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三重差分模型（Difference-in-Differences-in-Differences, DDD）是DID的扩展，适用于处理组和对照组在不同子群体间存在异质性影响的场景。其核心思想是通过引入第三重差分（子群体维度），进一步控制混杂因素。</w:t>
      </w:r>
    </w:p>
    <w:p w14:paraId="20F0D07C">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双重差分（DID）与三重差分（DDD）的优势与局限性</w:t>
      </w:r>
    </w:p>
    <w:p w14:paraId="03950307">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因果推断能力强：通过对比处理组和对照组在政策实施前后的变化，识别政策的净效应。</w:t>
      </w:r>
    </w:p>
    <w:p w14:paraId="580435C3">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灵活性：DID适用于单一政策评估，DDD适用于异质性政策效果评估。</w:t>
      </w:r>
    </w:p>
    <w:p w14:paraId="7FCA448A">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控制混杂因素：DID通过双重差分控制时间趋势和个体差异，DDD通过三重差分进一步控制子群体差异。</w:t>
      </w:r>
    </w:p>
    <w:p w14:paraId="6DEED903">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平行趋势假设严格：需检验处理组和对照组在政策实施前的趋势是否一致，否则可能导致估计偏差。</w:t>
      </w:r>
    </w:p>
    <w:p w14:paraId="589F7E84">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数据要求高：需要较长时间的面板数据（干预前后均有足够观测值）。</w:t>
      </w:r>
    </w:p>
    <w:p w14:paraId="57778564">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混杂事件干扰：若研究期内发生其他重大事件，可能干扰政策效果的识别。</w:t>
      </w:r>
    </w:p>
    <w:p w14:paraId="025C4846">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双重差分（DID）和三重差分（DDD）是强大的工具，适用于评估政策或干预措施的效果，尤其在政策评估、公共卫生干预、教育政策研究等领域具有重要应用价值。DID适用于单一政策评估，而DDD适用于异质性政策效果评估。在实际应用中，需合理选择处理组和对照组，检验平行趋势假设，并通过稳健性分析确保结果的可靠性。</w:t>
      </w:r>
    </w:p>
    <w:p w14:paraId="30267329">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案例内容</w:t>
      </w:r>
    </w:p>
    <w:p w14:paraId="59F50903">
      <w:pPr>
        <w:pageBreakBefore w:val="0"/>
        <w:widowControl w:val="0"/>
        <w:tabs>
          <w:tab w:val="left" w:pos="1320"/>
        </w:tabs>
        <w:kinsoku/>
        <w:wordWrap/>
        <w:overflowPunct/>
        <w:topLinePunct w:val="0"/>
        <w:autoSpaceDE/>
        <w:autoSpaceDN/>
        <w:bidi w:val="0"/>
        <w:adjustRightInd w:val="0"/>
        <w:snapToGrid w:val="0"/>
        <w:spacing w:beforeAutospacing="0" w:afterAutospacing="0" w:line="360" w:lineRule="auto"/>
        <w:ind w:right="0" w:firstLine="0" w:firstLineChars="0"/>
        <w:jc w:val="center"/>
        <w:textAlignment w:val="auto"/>
        <w:rPr>
          <w:rFonts w:hint="eastAsia" w:ascii="宋体" w:hAnsi="宋体" w:eastAsia="宋体" w:cs="宋体"/>
          <w:sz w:val="18"/>
          <w:szCs w:val="18"/>
          <w:lang w:val="en-US" w:eastAsia="zh-CN" w:bidi="ar"/>
        </w:rPr>
      </w:pPr>
      <w:r>
        <w:rPr>
          <w:rFonts w:hint="eastAsia" w:ascii="宋体" w:hAnsi="宋体" w:eastAsia="宋体" w:cs="宋体"/>
          <w:sz w:val="18"/>
          <w:szCs w:val="18"/>
          <w:lang w:bidi="ar"/>
        </w:rPr>
        <w:t>表</w:t>
      </w:r>
      <w:r>
        <w:rPr>
          <w:rFonts w:hint="eastAsia" w:ascii="宋体" w:hAnsi="宋体" w:cs="宋体"/>
          <w:sz w:val="18"/>
          <w:szCs w:val="18"/>
          <w:lang w:val="en-US" w:eastAsia="zh-CN" w:bidi="ar"/>
        </w:rPr>
        <w:t>12</w:t>
      </w:r>
      <w:r>
        <w:rPr>
          <w:rFonts w:hint="eastAsia" w:ascii="宋体" w:hAnsi="宋体" w:eastAsia="宋体" w:cs="宋体"/>
          <w:sz w:val="18"/>
          <w:szCs w:val="18"/>
          <w:lang w:bidi="ar"/>
        </w:rPr>
        <w:t xml:space="preserve"> </w:t>
      </w:r>
      <w:r>
        <w:rPr>
          <w:rFonts w:hint="eastAsia" w:ascii="宋体" w:hAnsi="宋体" w:cs="宋体"/>
          <w:sz w:val="18"/>
          <w:szCs w:val="18"/>
          <w:lang w:val="en-US" w:eastAsia="zh-CN" w:bidi="ar"/>
        </w:rPr>
        <w:t xml:space="preserve"> </w:t>
      </w:r>
      <w:r>
        <w:rPr>
          <w:rFonts w:hint="eastAsia" w:ascii="宋体" w:hAnsi="宋体" w:eastAsia="宋体" w:cs="宋体"/>
          <w:sz w:val="18"/>
          <w:szCs w:val="18"/>
          <w:lang w:bidi="ar"/>
        </w:rPr>
        <w:t>双重差分+三重差分（排污权交易机制是否提高了企业全要素生产率—来自中国上市公司的证据）</w:t>
      </w:r>
    </w:p>
    <w:tbl>
      <w:tblPr>
        <w:tblStyle w:val="18"/>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0D5E0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095" w:type="dxa"/>
            <w:shd w:val="clear" w:color="auto" w:fill="E6E6E6"/>
            <w:noWrap w:val="0"/>
            <w:vAlign w:val="center"/>
          </w:tcPr>
          <w:p w14:paraId="189A431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一级模块</w:t>
            </w:r>
          </w:p>
        </w:tc>
        <w:tc>
          <w:tcPr>
            <w:tcW w:w="1240" w:type="dxa"/>
            <w:shd w:val="clear" w:color="auto" w:fill="E6E6E6"/>
            <w:noWrap w:val="0"/>
            <w:vAlign w:val="center"/>
          </w:tcPr>
          <w:p w14:paraId="70F2586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二级模块</w:t>
            </w:r>
          </w:p>
        </w:tc>
        <w:tc>
          <w:tcPr>
            <w:tcW w:w="5058" w:type="dxa"/>
            <w:shd w:val="clear" w:color="auto" w:fill="E6E6E6"/>
            <w:noWrap w:val="0"/>
            <w:vAlign w:val="center"/>
          </w:tcPr>
          <w:p w14:paraId="2AC3FFA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实验项目名称</w:t>
            </w:r>
          </w:p>
        </w:tc>
        <w:tc>
          <w:tcPr>
            <w:tcW w:w="1356" w:type="dxa"/>
            <w:shd w:val="clear" w:color="auto" w:fill="E6E6E6"/>
            <w:noWrap w:val="0"/>
            <w:vAlign w:val="center"/>
          </w:tcPr>
          <w:p w14:paraId="26EF8C2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涉及平台</w:t>
            </w:r>
          </w:p>
        </w:tc>
      </w:tr>
      <w:tr w14:paraId="6E371F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restart"/>
            <w:noWrap w:val="0"/>
            <w:vAlign w:val="center"/>
          </w:tcPr>
          <w:p w14:paraId="09BF157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p w14:paraId="7160031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双重差分+三重差分（排污权交易机制是否提高了企业全要素生产率—来自中国上市公司的证据）</w:t>
            </w:r>
          </w:p>
        </w:tc>
        <w:tc>
          <w:tcPr>
            <w:tcW w:w="1240" w:type="dxa"/>
            <w:vMerge w:val="restart"/>
            <w:noWrap w:val="0"/>
            <w:vAlign w:val="center"/>
          </w:tcPr>
          <w:p w14:paraId="74253B0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实验准备</w:t>
            </w:r>
          </w:p>
        </w:tc>
        <w:tc>
          <w:tcPr>
            <w:tcW w:w="5058" w:type="dxa"/>
            <w:noWrap w:val="0"/>
            <w:vAlign w:val="center"/>
          </w:tcPr>
          <w:p w14:paraId="6576018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textAlignment w:val="auto"/>
              <w:rPr>
                <w:rFonts w:hint="eastAsia" w:ascii="宋体" w:hAnsi="宋体" w:eastAsia="宋体" w:cs="宋体"/>
                <w:color w:val="FF0000"/>
                <w:spacing w:val="10"/>
                <w:sz w:val="18"/>
                <w:szCs w:val="18"/>
                <w:lang w:val="en-US" w:eastAsia="zh-CN"/>
              </w:rPr>
            </w:pPr>
            <w:r>
              <w:rPr>
                <w:rFonts w:hint="eastAsia" w:ascii="宋体" w:hAnsi="宋体" w:eastAsia="宋体" w:cs="宋体"/>
                <w:sz w:val="18"/>
                <w:szCs w:val="18"/>
                <w:lang w:val="en-US" w:eastAsia="zh-CN"/>
              </w:rPr>
              <w:t>打开并登录平台学习案例相关理论知识</w:t>
            </w:r>
          </w:p>
        </w:tc>
        <w:tc>
          <w:tcPr>
            <w:tcW w:w="1356" w:type="dxa"/>
            <w:vMerge w:val="restart"/>
            <w:noWrap w:val="0"/>
            <w:vAlign w:val="center"/>
          </w:tcPr>
          <w:p w14:paraId="7620A12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lang w:eastAsia="zh-CN"/>
              </w:rPr>
            </w:pPr>
            <w:r>
              <w:rPr>
                <w:rFonts w:hint="eastAsia" w:hAnsi="宋体" w:cs="宋体"/>
                <w:sz w:val="18"/>
                <w:szCs w:val="18"/>
                <w:lang w:eastAsia="zh-CN"/>
              </w:rPr>
              <w:t>AI金融计量教学平台</w:t>
            </w:r>
          </w:p>
        </w:tc>
      </w:tr>
      <w:tr w14:paraId="025207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254B4AB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6401520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center"/>
          </w:tcPr>
          <w:p w14:paraId="2FD4A47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textAlignment w:val="auto"/>
              <w:rPr>
                <w:rFonts w:hint="eastAsia" w:ascii="宋体" w:hAnsi="宋体" w:eastAsia="宋体" w:cs="宋体"/>
                <w:color w:val="FF0000"/>
                <w:spacing w:val="10"/>
                <w:sz w:val="18"/>
                <w:szCs w:val="18"/>
                <w:lang w:val="en-US" w:eastAsia="zh-CN"/>
              </w:rPr>
            </w:pPr>
            <w:r>
              <w:rPr>
                <w:rFonts w:hint="eastAsia" w:ascii="宋体" w:hAnsi="宋体" w:eastAsia="宋体" w:cs="宋体"/>
                <w:sz w:val="18"/>
                <w:szCs w:val="18"/>
                <w:lang w:val="en-US" w:eastAsia="zh-CN"/>
              </w:rPr>
              <w:t>准备案例相关数据</w:t>
            </w:r>
          </w:p>
        </w:tc>
        <w:tc>
          <w:tcPr>
            <w:tcW w:w="1356" w:type="dxa"/>
            <w:vMerge w:val="continue"/>
            <w:noWrap w:val="0"/>
            <w:vAlign w:val="center"/>
          </w:tcPr>
          <w:p w14:paraId="089DB30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pacing w:val="10"/>
                <w:sz w:val="18"/>
                <w:szCs w:val="18"/>
              </w:rPr>
            </w:pPr>
          </w:p>
        </w:tc>
      </w:tr>
      <w:tr w14:paraId="3F3F7D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29C1C3F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15E5C81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center"/>
          </w:tcPr>
          <w:p w14:paraId="2C37517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textAlignment w:val="auto"/>
              <w:rPr>
                <w:rFonts w:hint="eastAsia" w:ascii="宋体" w:hAnsi="宋体" w:eastAsia="宋体" w:cs="宋体"/>
                <w:color w:val="FF0000"/>
                <w:spacing w:val="10"/>
                <w:sz w:val="18"/>
                <w:szCs w:val="18"/>
                <w:lang w:val="en-US" w:eastAsia="zh-CN"/>
              </w:rPr>
            </w:pPr>
            <w:r>
              <w:rPr>
                <w:rFonts w:hint="eastAsia" w:ascii="宋体" w:hAnsi="宋体" w:eastAsia="宋体" w:cs="宋体"/>
                <w:sz w:val="18"/>
                <w:szCs w:val="18"/>
                <w:lang w:val="en-US" w:eastAsia="zh-CN"/>
              </w:rPr>
              <w:t>准备仿写文档</w:t>
            </w:r>
          </w:p>
        </w:tc>
        <w:tc>
          <w:tcPr>
            <w:tcW w:w="1356" w:type="dxa"/>
            <w:vMerge w:val="continue"/>
            <w:noWrap w:val="0"/>
            <w:vAlign w:val="center"/>
          </w:tcPr>
          <w:p w14:paraId="08F1D5E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pacing w:val="10"/>
                <w:sz w:val="18"/>
                <w:szCs w:val="18"/>
              </w:rPr>
            </w:pPr>
          </w:p>
        </w:tc>
      </w:tr>
      <w:tr w14:paraId="269CDE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57D5D10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16297F7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rPr>
              <w:t>实施</w:t>
            </w:r>
            <w:r>
              <w:rPr>
                <w:rFonts w:hint="eastAsia" w:hAnsi="宋体" w:cs="宋体"/>
                <w:sz w:val="18"/>
                <w:szCs w:val="18"/>
                <w:lang w:val="en-US" w:eastAsia="zh-CN"/>
              </w:rPr>
              <w:t>步骤</w:t>
            </w:r>
          </w:p>
        </w:tc>
        <w:tc>
          <w:tcPr>
            <w:tcW w:w="5058" w:type="dxa"/>
            <w:noWrap w:val="0"/>
            <w:vAlign w:val="center"/>
          </w:tcPr>
          <w:p w14:paraId="7BBCC77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排污权交易政策对SO2排放和工业GDP 的影响</w:t>
            </w:r>
          </w:p>
        </w:tc>
        <w:tc>
          <w:tcPr>
            <w:tcW w:w="1356" w:type="dxa"/>
            <w:vMerge w:val="continue"/>
            <w:noWrap w:val="0"/>
            <w:vAlign w:val="center"/>
          </w:tcPr>
          <w:p w14:paraId="3C0670A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0ADE94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694C4E6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34C9020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3211F5F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SO2排污权交易试点对全要素生产率的影响：双重差分</w:t>
            </w:r>
          </w:p>
        </w:tc>
        <w:tc>
          <w:tcPr>
            <w:tcW w:w="1356" w:type="dxa"/>
            <w:vMerge w:val="continue"/>
            <w:noWrap w:val="0"/>
            <w:vAlign w:val="center"/>
          </w:tcPr>
          <w:p w14:paraId="030D03F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34C370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21674FC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57DB939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51D0EFE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b w:val="0"/>
                <w:kern w:val="2"/>
                <w:sz w:val="18"/>
                <w:szCs w:val="18"/>
                <w:lang w:val="en-US" w:eastAsia="zh-CN" w:bidi="ar"/>
              </w:rPr>
            </w:pPr>
            <w:r>
              <w:rPr>
                <w:rFonts w:hint="eastAsia" w:ascii="宋体" w:hAnsi="宋体" w:eastAsia="宋体" w:cs="宋体"/>
                <w:b w:val="0"/>
                <w:kern w:val="2"/>
                <w:sz w:val="18"/>
                <w:szCs w:val="18"/>
                <w:lang w:val="en-US" w:eastAsia="zh-CN" w:bidi="ar"/>
              </w:rPr>
              <w:t>三重差分估计结果</w:t>
            </w:r>
          </w:p>
        </w:tc>
        <w:tc>
          <w:tcPr>
            <w:tcW w:w="1356" w:type="dxa"/>
            <w:vMerge w:val="continue"/>
            <w:noWrap w:val="0"/>
            <w:vAlign w:val="center"/>
          </w:tcPr>
          <w:p w14:paraId="2B7CAF6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60927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12FFB37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4301E0B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5885CC5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全要素生产率估计方法敏感性检验</w:t>
            </w:r>
          </w:p>
        </w:tc>
        <w:tc>
          <w:tcPr>
            <w:tcW w:w="1356" w:type="dxa"/>
            <w:vMerge w:val="continue"/>
            <w:noWrap w:val="0"/>
            <w:vAlign w:val="center"/>
          </w:tcPr>
          <w:p w14:paraId="51C89AF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5421E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091893E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6DCF6FB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1594437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工具变量的回归结果</w:t>
            </w:r>
          </w:p>
        </w:tc>
        <w:tc>
          <w:tcPr>
            <w:tcW w:w="1356" w:type="dxa"/>
            <w:vMerge w:val="continue"/>
            <w:noWrap w:val="0"/>
            <w:vAlign w:val="center"/>
          </w:tcPr>
          <w:p w14:paraId="703B07C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27C10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1E92D2B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27C6D5D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1ED87B6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行为：删除搬迁的企业</w:t>
            </w:r>
          </w:p>
        </w:tc>
        <w:tc>
          <w:tcPr>
            <w:tcW w:w="1356" w:type="dxa"/>
            <w:vMerge w:val="continue"/>
            <w:noWrap w:val="0"/>
            <w:vAlign w:val="center"/>
          </w:tcPr>
          <w:p w14:paraId="5CE3AB4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48FEF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44D32E9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0671ADA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067BF29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SO2 排污权交易试点政策影响全要生产率的机制检验</w:t>
            </w:r>
          </w:p>
        </w:tc>
        <w:tc>
          <w:tcPr>
            <w:tcW w:w="1356" w:type="dxa"/>
            <w:vMerge w:val="continue"/>
            <w:noWrap w:val="0"/>
            <w:vAlign w:val="center"/>
          </w:tcPr>
          <w:p w14:paraId="7000D85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044685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63E51A8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0F05C47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r>
              <w:rPr>
                <w:rFonts w:hint="eastAsia" w:ascii="宋体" w:hAnsi="宋体" w:eastAsia="宋体" w:cs="宋体"/>
                <w:sz w:val="18"/>
                <w:szCs w:val="18"/>
              </w:rPr>
              <w:t>实验总结</w:t>
            </w:r>
          </w:p>
        </w:tc>
        <w:tc>
          <w:tcPr>
            <w:tcW w:w="5058" w:type="dxa"/>
            <w:noWrap w:val="0"/>
            <w:vAlign w:val="center"/>
          </w:tcPr>
          <w:p w14:paraId="4828D9A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hAnsi="宋体" w:cs="宋体"/>
                <w:spacing w:val="10"/>
                <w:sz w:val="18"/>
                <w:szCs w:val="18"/>
                <w:lang w:val="en-US" w:eastAsia="zh-CN"/>
              </w:rPr>
              <w:t>复现</w:t>
            </w:r>
            <w:r>
              <w:rPr>
                <w:rFonts w:hint="eastAsia" w:ascii="宋体" w:hAnsi="宋体" w:eastAsia="宋体" w:cs="宋体"/>
                <w:spacing w:val="10"/>
                <w:sz w:val="18"/>
                <w:szCs w:val="18"/>
                <w:lang w:val="en-US" w:eastAsia="zh-CN"/>
              </w:rPr>
              <w:t>完整案例及模型方法</w:t>
            </w:r>
          </w:p>
        </w:tc>
        <w:tc>
          <w:tcPr>
            <w:tcW w:w="1356" w:type="dxa"/>
            <w:vMerge w:val="continue"/>
            <w:noWrap w:val="0"/>
            <w:vAlign w:val="center"/>
          </w:tcPr>
          <w:p w14:paraId="211966E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286FF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0DF11D0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59E6E2A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05CAB80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hAnsi="宋体" w:cs="宋体"/>
                <w:spacing w:val="10"/>
                <w:sz w:val="18"/>
                <w:szCs w:val="18"/>
                <w:lang w:val="en-US" w:eastAsia="zh-CN"/>
              </w:rPr>
            </w:pPr>
            <w:r>
              <w:rPr>
                <w:rFonts w:hint="eastAsia" w:hAnsi="宋体" w:cs="宋体"/>
                <w:spacing w:val="10"/>
                <w:sz w:val="18"/>
                <w:szCs w:val="18"/>
                <w:lang w:val="en-US" w:eastAsia="zh-CN"/>
              </w:rPr>
              <w:t>总结</w:t>
            </w:r>
            <w:r>
              <w:rPr>
                <w:rFonts w:hint="eastAsia" w:ascii="宋体" w:hAnsi="宋体" w:eastAsia="宋体" w:cs="宋体"/>
                <w:sz w:val="18"/>
                <w:szCs w:val="18"/>
                <w:lang w:bidi="ar"/>
              </w:rPr>
              <w:t>双重差分+三重差分模型</w:t>
            </w:r>
            <w:r>
              <w:rPr>
                <w:rFonts w:hint="eastAsia" w:ascii="宋体" w:hAnsi="宋体" w:eastAsia="宋体" w:cs="宋体"/>
                <w:spacing w:val="10"/>
                <w:sz w:val="18"/>
                <w:szCs w:val="18"/>
                <w:lang w:val="en-US" w:eastAsia="zh-CN"/>
              </w:rPr>
              <w:t>建模技巧与论文写作技巧</w:t>
            </w:r>
          </w:p>
        </w:tc>
        <w:tc>
          <w:tcPr>
            <w:tcW w:w="1356" w:type="dxa"/>
            <w:vMerge w:val="continue"/>
            <w:noWrap w:val="0"/>
            <w:vAlign w:val="center"/>
          </w:tcPr>
          <w:p w14:paraId="356B077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bl>
    <w:p w14:paraId="40FFA39C">
      <w:pPr>
        <w:pStyle w:val="6"/>
        <w:keepNext/>
        <w:keepLines/>
        <w:pageBreakBefore w:val="0"/>
        <w:widowControl w:val="0"/>
        <w:numPr>
          <w:ilvl w:val="1"/>
          <w:numId w:val="16"/>
        </w:numPr>
        <w:tabs>
          <w:tab w:val="left" w:pos="1320"/>
        </w:tabs>
        <w:kinsoku/>
        <w:wordWrap/>
        <w:overflowPunct/>
        <w:topLinePunct w:val="0"/>
        <w:autoSpaceDE/>
        <w:autoSpaceDN/>
        <w:bidi w:val="0"/>
        <w:adjustRightInd w:val="0"/>
        <w:snapToGrid w:val="0"/>
        <w:spacing w:beforeAutospacing="0" w:afterAutospacing="0" w:line="360" w:lineRule="auto"/>
        <w:ind w:left="0" w:right="0" w:firstLine="422" w:firstLineChars="200"/>
        <w:textAlignment w:val="auto"/>
        <w:outlineLvl w:val="2"/>
        <w:rPr>
          <w:rFonts w:hint="eastAsia" w:ascii="宋体" w:hAnsi="宋体" w:eastAsia="宋体" w:cs="宋体"/>
          <w:b/>
          <w:sz w:val="21"/>
          <w:szCs w:val="21"/>
          <w:lang w:val="en-US" w:eastAsia="zh-CN"/>
        </w:rPr>
      </w:pPr>
      <w:bookmarkStart w:id="53" w:name="_Toc16432"/>
      <w:r>
        <w:rPr>
          <w:rFonts w:hint="eastAsia" w:ascii="宋体" w:hAnsi="宋体" w:eastAsia="宋体" w:cs="宋体"/>
          <w:b/>
          <w:sz w:val="21"/>
          <w:szCs w:val="21"/>
          <w:lang w:val="en-US" w:eastAsia="zh-CN"/>
        </w:rPr>
        <w:t>断点回归模型（环境规制与企业纳税遵从_效应、机制与改善路径）</w:t>
      </w:r>
      <w:bookmarkEnd w:id="53"/>
    </w:p>
    <w:p w14:paraId="18D2D7A1">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案例概述</w:t>
      </w:r>
    </w:p>
    <w:p w14:paraId="1F4EF5AF">
      <w:pPr>
        <w:pageBreakBefore w:val="0"/>
        <w:widowControl w:val="0"/>
        <w:kinsoku/>
        <w:wordWrap/>
        <w:overflowPunct/>
        <w:topLinePunct w:val="0"/>
        <w:autoSpaceDE/>
        <w:autoSpaceDN/>
        <w:bidi w:val="0"/>
        <w:adjustRightInd w:val="0"/>
        <w:snapToGrid w:val="0"/>
        <w:spacing w:beforeAutospacing="0" w:afterAutospacing="0" w:line="360" w:lineRule="auto"/>
        <w:ind w:right="0" w:firstLine="360"/>
        <w:jc w:val="center"/>
        <w:textAlignment w:val="auto"/>
        <w:rPr>
          <w:rFonts w:hint="eastAsia" w:ascii="宋体" w:hAnsi="宋体" w:eastAsia="宋体" w:cs="宋体"/>
          <w:sz w:val="18"/>
          <w:szCs w:val="18"/>
          <w:lang w:val="en-US" w:eastAsia="zh-CN" w:bidi="ar"/>
        </w:rPr>
      </w:pPr>
      <w:r>
        <w:rPr>
          <w:rFonts w:hint="eastAsia" w:ascii="宋体" w:hAnsi="宋体" w:eastAsia="宋体" w:cs="宋体"/>
          <w:sz w:val="18"/>
          <w:szCs w:val="18"/>
          <w:lang w:bidi="ar"/>
        </w:rPr>
        <w:t>表</w:t>
      </w:r>
      <w:r>
        <w:rPr>
          <w:rFonts w:hint="eastAsia" w:ascii="宋体" w:hAnsi="宋体" w:cs="宋体"/>
          <w:sz w:val="18"/>
          <w:szCs w:val="18"/>
          <w:lang w:val="en-US" w:eastAsia="zh-CN" w:bidi="ar"/>
        </w:rPr>
        <w:t>13</w:t>
      </w:r>
      <w:r>
        <w:rPr>
          <w:rFonts w:hint="eastAsia" w:ascii="宋体" w:hAnsi="宋体" w:eastAsia="宋体" w:cs="宋体"/>
          <w:sz w:val="18"/>
          <w:szCs w:val="18"/>
          <w:lang w:bidi="ar"/>
        </w:rPr>
        <w:t xml:space="preserve"> 案例</w:t>
      </w:r>
      <w:r>
        <w:rPr>
          <w:rFonts w:hint="eastAsia" w:ascii="宋体" w:hAnsi="宋体" w:eastAsia="宋体" w:cs="宋体"/>
          <w:sz w:val="18"/>
          <w:szCs w:val="18"/>
          <w:lang w:val="en-US" w:eastAsia="zh-CN" w:bidi="ar"/>
        </w:rPr>
        <w:t>概述</w:t>
      </w:r>
    </w:p>
    <w:tbl>
      <w:tblPr>
        <w:tblStyle w:val="39"/>
        <w:tblW w:w="5012"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34"/>
        <w:gridCol w:w="7008"/>
      </w:tblGrid>
      <w:tr w14:paraId="4F60BB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1534" w:type="dxa"/>
            <w:noWrap w:val="0"/>
            <w:vAlign w:val="center"/>
          </w:tcPr>
          <w:p w14:paraId="7A0A8EE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b/>
                <w:bCs/>
                <w:sz w:val="18"/>
                <w:szCs w:val="18"/>
              </w:rPr>
            </w:pPr>
            <w:r>
              <w:rPr>
                <w:rFonts w:hint="eastAsia" w:hAnsi="宋体" w:cs="宋体"/>
                <w:b/>
                <w:bCs/>
                <w:sz w:val="18"/>
                <w:szCs w:val="18"/>
              </w:rPr>
              <w:t>模块</w:t>
            </w:r>
          </w:p>
        </w:tc>
        <w:tc>
          <w:tcPr>
            <w:tcW w:w="7008" w:type="dxa"/>
            <w:noWrap w:val="0"/>
            <w:vAlign w:val="center"/>
          </w:tcPr>
          <w:p w14:paraId="32F5086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b/>
                <w:bCs/>
                <w:sz w:val="18"/>
                <w:szCs w:val="18"/>
              </w:rPr>
            </w:pPr>
            <w:r>
              <w:rPr>
                <w:rFonts w:hint="eastAsia" w:hAnsi="宋体" w:cs="宋体"/>
                <w:b/>
                <w:bCs/>
                <w:sz w:val="18"/>
                <w:szCs w:val="18"/>
              </w:rPr>
              <w:t>模块内容</w:t>
            </w:r>
          </w:p>
        </w:tc>
      </w:tr>
      <w:tr w14:paraId="74E676A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34" w:type="dxa"/>
            <w:noWrap w:val="0"/>
            <w:vAlign w:val="center"/>
          </w:tcPr>
          <w:p w14:paraId="7718344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sz w:val="18"/>
                <w:szCs w:val="18"/>
              </w:rPr>
            </w:pPr>
            <w:r>
              <w:rPr>
                <w:rFonts w:hint="eastAsia" w:hAnsi="宋体" w:cs="宋体"/>
                <w:sz w:val="18"/>
                <w:szCs w:val="18"/>
              </w:rPr>
              <w:t>课时设置</w:t>
            </w:r>
          </w:p>
        </w:tc>
        <w:tc>
          <w:tcPr>
            <w:tcW w:w="7008" w:type="dxa"/>
            <w:noWrap w:val="0"/>
            <w:vAlign w:val="center"/>
          </w:tcPr>
          <w:p w14:paraId="463DAFC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both"/>
              <w:textAlignment w:val="auto"/>
              <w:rPr>
                <w:rFonts w:hint="eastAsia" w:hAnsi="宋体" w:cs="宋体"/>
                <w:sz w:val="18"/>
                <w:szCs w:val="18"/>
              </w:rPr>
            </w:pPr>
            <w:r>
              <w:rPr>
                <w:rFonts w:hint="eastAsia" w:hAnsi="宋体" w:cs="宋体"/>
                <w:sz w:val="18"/>
                <w:szCs w:val="18"/>
              </w:rPr>
              <w:t>理论教学4学时，实践教学4学时，总计8学时。</w:t>
            </w:r>
          </w:p>
        </w:tc>
      </w:tr>
      <w:tr w14:paraId="5186F36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1534" w:type="dxa"/>
            <w:noWrap w:val="0"/>
            <w:vAlign w:val="center"/>
          </w:tcPr>
          <w:p w14:paraId="5FAD0A6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sz w:val="18"/>
                <w:szCs w:val="18"/>
              </w:rPr>
            </w:pPr>
            <w:r>
              <w:rPr>
                <w:rFonts w:hint="eastAsia" w:hAnsi="宋体" w:cs="宋体"/>
                <w:sz w:val="18"/>
                <w:szCs w:val="18"/>
              </w:rPr>
              <w:t>案例资源</w:t>
            </w:r>
          </w:p>
        </w:tc>
        <w:tc>
          <w:tcPr>
            <w:tcW w:w="7008" w:type="dxa"/>
            <w:noWrap w:val="0"/>
            <w:vAlign w:val="center"/>
          </w:tcPr>
          <w:p w14:paraId="220117E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left"/>
              <w:textAlignment w:val="auto"/>
              <w:rPr>
                <w:rFonts w:hint="eastAsia" w:hAnsi="宋体" w:cs="宋体"/>
                <w:sz w:val="18"/>
                <w:szCs w:val="18"/>
              </w:rPr>
            </w:pPr>
            <w:r>
              <w:rPr>
                <w:rFonts w:hint="eastAsia" w:hAnsi="宋体" w:cs="宋体"/>
                <w:sz w:val="18"/>
                <w:szCs w:val="18"/>
              </w:rPr>
              <w:t>包含</w:t>
            </w:r>
            <w:r>
              <w:rPr>
                <w:rFonts w:hint="eastAsia" w:hAnsi="宋体" w:cs="宋体"/>
                <w:sz w:val="18"/>
                <w:szCs w:val="18"/>
                <w:lang w:val="en-US" w:eastAsia="zh-CN"/>
              </w:rPr>
              <w:t>21</w:t>
            </w:r>
            <w:r>
              <w:rPr>
                <w:rFonts w:hint="eastAsia" w:hAnsi="宋体" w:cs="宋体"/>
                <w:sz w:val="18"/>
                <w:szCs w:val="18"/>
              </w:rPr>
              <w:t>份实训指导书、</w:t>
            </w:r>
            <w:r>
              <w:rPr>
                <w:rFonts w:hint="eastAsia" w:hAnsi="宋体" w:cs="宋体"/>
                <w:sz w:val="18"/>
                <w:szCs w:val="18"/>
                <w:lang w:val="en-US" w:eastAsia="zh-CN"/>
              </w:rPr>
              <w:t>1</w:t>
            </w:r>
            <w:r>
              <w:rPr>
                <w:rFonts w:hint="eastAsia" w:hAnsi="宋体" w:cs="宋体"/>
                <w:sz w:val="18"/>
                <w:szCs w:val="18"/>
              </w:rPr>
              <w:t>份数据</w:t>
            </w:r>
            <w:r>
              <w:rPr>
                <w:rFonts w:hint="eastAsia" w:hAnsi="宋体" w:cs="宋体"/>
                <w:sz w:val="18"/>
                <w:szCs w:val="18"/>
                <w:lang w:eastAsia="zh-CN"/>
              </w:rPr>
              <w:t>、</w:t>
            </w:r>
            <w:r>
              <w:rPr>
                <w:rFonts w:hint="eastAsia" w:hAnsi="宋体" w:cs="宋体"/>
                <w:sz w:val="18"/>
                <w:szCs w:val="18"/>
                <w:lang w:val="en-US" w:eastAsia="zh-CN"/>
              </w:rPr>
              <w:t>1份论文仿写设计报告模板</w:t>
            </w:r>
            <w:r>
              <w:rPr>
                <w:rFonts w:hint="eastAsia" w:hAnsi="宋体" w:cs="宋体"/>
                <w:sz w:val="18"/>
                <w:szCs w:val="18"/>
              </w:rPr>
              <w:t>。</w:t>
            </w:r>
          </w:p>
        </w:tc>
      </w:tr>
      <w:tr w14:paraId="0FB5B8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34" w:type="dxa"/>
            <w:noWrap w:val="0"/>
            <w:vAlign w:val="center"/>
          </w:tcPr>
          <w:p w14:paraId="4700CB9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sz w:val="18"/>
                <w:szCs w:val="18"/>
              </w:rPr>
            </w:pPr>
            <w:r>
              <w:rPr>
                <w:rFonts w:hint="eastAsia" w:hAnsi="宋体" w:cs="宋体"/>
                <w:sz w:val="18"/>
                <w:szCs w:val="18"/>
              </w:rPr>
              <w:t>技能点</w:t>
            </w:r>
          </w:p>
        </w:tc>
        <w:tc>
          <w:tcPr>
            <w:tcW w:w="7008" w:type="dxa"/>
            <w:noWrap w:val="0"/>
            <w:vAlign w:val="center"/>
          </w:tcPr>
          <w:p w14:paraId="331FCE1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left"/>
              <w:textAlignment w:val="auto"/>
              <w:rPr>
                <w:rFonts w:hint="eastAsia" w:hAnsi="宋体" w:cs="宋体"/>
                <w:sz w:val="18"/>
                <w:szCs w:val="18"/>
              </w:rPr>
            </w:pPr>
            <w:r>
              <w:rPr>
                <w:rFonts w:hint="eastAsia" w:hAnsi="宋体" w:cs="宋体"/>
                <w:sz w:val="18"/>
                <w:szCs w:val="18"/>
                <w:lang w:val="en-US" w:eastAsia="zh-CN"/>
              </w:rPr>
              <w:t>高效掌握断点回归模型建模技巧与论文写作技巧</w:t>
            </w:r>
          </w:p>
        </w:tc>
      </w:tr>
      <w:tr w14:paraId="2579F1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2" w:hRule="atLeast"/>
          <w:jc w:val="center"/>
        </w:trPr>
        <w:tc>
          <w:tcPr>
            <w:tcW w:w="1534" w:type="dxa"/>
            <w:noWrap w:val="0"/>
            <w:vAlign w:val="center"/>
          </w:tcPr>
          <w:p w14:paraId="7EFD7F6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sz w:val="18"/>
                <w:szCs w:val="18"/>
              </w:rPr>
            </w:pPr>
            <w:r>
              <w:rPr>
                <w:rFonts w:hint="eastAsia" w:hAnsi="宋体" w:cs="宋体"/>
                <w:sz w:val="18"/>
                <w:szCs w:val="18"/>
                <w:lang w:val="en-US" w:eastAsia="zh-CN"/>
              </w:rPr>
              <w:t>操作复现</w:t>
            </w:r>
          </w:p>
        </w:tc>
        <w:tc>
          <w:tcPr>
            <w:tcW w:w="7008" w:type="dxa"/>
            <w:noWrap w:val="0"/>
            <w:vAlign w:val="center"/>
          </w:tcPr>
          <w:p w14:paraId="6AF1287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left"/>
              <w:textAlignment w:val="auto"/>
              <w:rPr>
                <w:rFonts w:hint="eastAsia" w:hAnsi="宋体" w:cs="宋体"/>
                <w:sz w:val="18"/>
                <w:szCs w:val="18"/>
              </w:rPr>
            </w:pPr>
            <w:r>
              <w:rPr>
                <w:rFonts w:hint="eastAsia" w:hAnsi="宋体" w:cs="宋体"/>
                <w:sz w:val="18"/>
                <w:szCs w:val="18"/>
              </w:rPr>
              <w:t>环境规制与企业纳税遵从_效应、机制与改善路径</w:t>
            </w:r>
          </w:p>
        </w:tc>
      </w:tr>
    </w:tbl>
    <w:p w14:paraId="601F7DB5">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断点回归模型（Regression Discontinuity Design, RDD）是一种用于因果推断的准实验方法，适用于处理变量在某一临界点（断点）处发生不连续变化的场景。其核心思想是通过比较临界点两侧的个体，识别处理变量对结果变量的因果效应。</w:t>
      </w:r>
    </w:p>
    <w:p w14:paraId="74E39675">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局部随机化：在断点附近，个体接受处理的概率发生不连续变化，类似于随机实验。</w:t>
      </w:r>
    </w:p>
    <w:p w14:paraId="7C7B473E">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因果推断能力强：通过比较断点两侧的个体，识别处理的净效应。</w:t>
      </w:r>
    </w:p>
    <w:p w14:paraId="07D74D37">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灵活性：适用于多种断点类型（如清晰断点、模糊断点）和函数形式（如线性、多项式）。</w:t>
      </w:r>
    </w:p>
    <w:p w14:paraId="2FCF34AD">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局部有效性：仅能估计断点附近的处理效应，无法推广到整体样本。</w:t>
      </w:r>
    </w:p>
    <w:p w14:paraId="7451AB04">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驱动变量操纵风险：若个体能够操纵驱动变量（如考试成绩），可能导致估计偏差。</w:t>
      </w:r>
    </w:p>
    <w:p w14:paraId="0209C693">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数据要求高：需要足够多的样本集中在断点附近，否则可能导致估计不准确。</w:t>
      </w:r>
    </w:p>
    <w:p w14:paraId="57323B02">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断点回归模型是一种强大的工具，适用于评估在某一临界点处发生不连续变化的政策或干预措施的效果，尤其在教育、社会福利、医疗、企业政策等领域具有重要应用价值。在实际应用中，需合理选择驱动变量和断点，检验模型假设，并通过稳健性分析确保结果的可靠性。</w:t>
      </w:r>
    </w:p>
    <w:p w14:paraId="38C6C9A7">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案例内容</w:t>
      </w:r>
    </w:p>
    <w:p w14:paraId="77203F87">
      <w:pPr>
        <w:pageBreakBefore w:val="0"/>
        <w:widowControl w:val="0"/>
        <w:tabs>
          <w:tab w:val="left" w:pos="1320"/>
        </w:tabs>
        <w:kinsoku/>
        <w:wordWrap/>
        <w:overflowPunct/>
        <w:topLinePunct w:val="0"/>
        <w:autoSpaceDE/>
        <w:autoSpaceDN/>
        <w:bidi w:val="0"/>
        <w:adjustRightInd w:val="0"/>
        <w:snapToGrid w:val="0"/>
        <w:spacing w:beforeAutospacing="0" w:afterAutospacing="0" w:line="360" w:lineRule="auto"/>
        <w:ind w:right="0" w:firstLine="0" w:firstLineChars="0"/>
        <w:jc w:val="center"/>
        <w:textAlignment w:val="auto"/>
        <w:rPr>
          <w:rFonts w:hint="eastAsia" w:ascii="宋体" w:hAnsi="宋体" w:eastAsia="宋体" w:cs="宋体"/>
          <w:sz w:val="18"/>
          <w:szCs w:val="18"/>
          <w:lang w:val="en-US" w:eastAsia="zh-CN" w:bidi="ar"/>
        </w:rPr>
      </w:pPr>
      <w:r>
        <w:rPr>
          <w:rFonts w:hint="eastAsia" w:ascii="宋体" w:hAnsi="宋体" w:eastAsia="宋体" w:cs="宋体"/>
          <w:sz w:val="18"/>
          <w:szCs w:val="18"/>
          <w:lang w:bidi="ar"/>
        </w:rPr>
        <w:t>表</w:t>
      </w:r>
      <w:r>
        <w:rPr>
          <w:rFonts w:hint="eastAsia" w:ascii="宋体" w:hAnsi="宋体" w:cs="宋体"/>
          <w:sz w:val="18"/>
          <w:szCs w:val="18"/>
          <w:lang w:val="en-US" w:eastAsia="zh-CN" w:bidi="ar"/>
        </w:rPr>
        <w:t>14</w:t>
      </w:r>
      <w:r>
        <w:rPr>
          <w:rFonts w:hint="eastAsia" w:ascii="宋体" w:hAnsi="宋体" w:eastAsia="宋体" w:cs="宋体"/>
          <w:sz w:val="18"/>
          <w:szCs w:val="18"/>
          <w:lang w:bidi="ar"/>
        </w:rPr>
        <w:t xml:space="preserve"> 断点回归模型（环境规制与企业纳税遵从_效应、机制与改善路径）</w:t>
      </w:r>
    </w:p>
    <w:tbl>
      <w:tblPr>
        <w:tblStyle w:val="18"/>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51C4D4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095" w:type="dxa"/>
            <w:shd w:val="clear" w:color="auto" w:fill="E6E6E6"/>
            <w:noWrap w:val="0"/>
            <w:vAlign w:val="center"/>
          </w:tcPr>
          <w:p w14:paraId="60EC131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一级模块</w:t>
            </w:r>
          </w:p>
        </w:tc>
        <w:tc>
          <w:tcPr>
            <w:tcW w:w="1240" w:type="dxa"/>
            <w:shd w:val="clear" w:color="auto" w:fill="E6E6E6"/>
            <w:noWrap w:val="0"/>
            <w:vAlign w:val="center"/>
          </w:tcPr>
          <w:p w14:paraId="54C7B46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二级模块</w:t>
            </w:r>
          </w:p>
        </w:tc>
        <w:tc>
          <w:tcPr>
            <w:tcW w:w="5058" w:type="dxa"/>
            <w:shd w:val="clear" w:color="auto" w:fill="E6E6E6"/>
            <w:noWrap w:val="0"/>
            <w:vAlign w:val="center"/>
          </w:tcPr>
          <w:p w14:paraId="60BC81A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实验项目名称</w:t>
            </w:r>
          </w:p>
        </w:tc>
        <w:tc>
          <w:tcPr>
            <w:tcW w:w="1356" w:type="dxa"/>
            <w:shd w:val="clear" w:color="auto" w:fill="E6E6E6"/>
            <w:noWrap w:val="0"/>
            <w:vAlign w:val="center"/>
          </w:tcPr>
          <w:p w14:paraId="23977AA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涉及平台</w:t>
            </w:r>
          </w:p>
        </w:tc>
      </w:tr>
      <w:tr w14:paraId="492CB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restart"/>
            <w:noWrap w:val="0"/>
            <w:vAlign w:val="center"/>
          </w:tcPr>
          <w:p w14:paraId="3E8DD9C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p w14:paraId="6292EAE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断点回归模型（环境规制与企业纳税遵从_效应、机制与改善路径）</w:t>
            </w:r>
          </w:p>
        </w:tc>
        <w:tc>
          <w:tcPr>
            <w:tcW w:w="1240" w:type="dxa"/>
            <w:vMerge w:val="restart"/>
            <w:noWrap w:val="0"/>
            <w:vAlign w:val="center"/>
          </w:tcPr>
          <w:p w14:paraId="465D0CF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实验准备</w:t>
            </w:r>
          </w:p>
        </w:tc>
        <w:tc>
          <w:tcPr>
            <w:tcW w:w="5058" w:type="dxa"/>
            <w:noWrap w:val="0"/>
            <w:vAlign w:val="center"/>
          </w:tcPr>
          <w:p w14:paraId="0E1242B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textAlignment w:val="auto"/>
              <w:rPr>
                <w:rFonts w:hint="eastAsia" w:ascii="宋体" w:hAnsi="宋体" w:eastAsia="宋体" w:cs="宋体"/>
                <w:color w:val="FF0000"/>
                <w:spacing w:val="10"/>
                <w:sz w:val="18"/>
                <w:szCs w:val="18"/>
                <w:lang w:val="en-US" w:eastAsia="zh-CN"/>
              </w:rPr>
            </w:pPr>
            <w:r>
              <w:rPr>
                <w:rFonts w:hint="eastAsia" w:ascii="宋体" w:hAnsi="宋体" w:eastAsia="宋体" w:cs="宋体"/>
                <w:sz w:val="18"/>
                <w:szCs w:val="18"/>
                <w:lang w:val="en-US" w:eastAsia="zh-CN"/>
              </w:rPr>
              <w:t>打开并登录平台学习案例相关理论知识</w:t>
            </w:r>
          </w:p>
        </w:tc>
        <w:tc>
          <w:tcPr>
            <w:tcW w:w="1356" w:type="dxa"/>
            <w:vMerge w:val="restart"/>
            <w:noWrap w:val="0"/>
            <w:vAlign w:val="center"/>
          </w:tcPr>
          <w:p w14:paraId="71C525A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lang w:eastAsia="zh-CN"/>
              </w:rPr>
            </w:pPr>
            <w:r>
              <w:rPr>
                <w:rFonts w:hint="eastAsia" w:hAnsi="宋体" w:cs="宋体"/>
                <w:sz w:val="18"/>
                <w:szCs w:val="18"/>
                <w:lang w:eastAsia="zh-CN"/>
              </w:rPr>
              <w:t>AI金融计量教学平台</w:t>
            </w:r>
          </w:p>
        </w:tc>
      </w:tr>
      <w:tr w14:paraId="62C244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17A4495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4A29B91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center"/>
          </w:tcPr>
          <w:p w14:paraId="56C58DF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textAlignment w:val="auto"/>
              <w:rPr>
                <w:rFonts w:hint="eastAsia" w:ascii="宋体" w:hAnsi="宋体" w:eastAsia="宋体" w:cs="宋体"/>
                <w:color w:val="FF0000"/>
                <w:spacing w:val="10"/>
                <w:sz w:val="18"/>
                <w:szCs w:val="18"/>
                <w:lang w:val="en-US" w:eastAsia="zh-CN"/>
              </w:rPr>
            </w:pPr>
            <w:r>
              <w:rPr>
                <w:rFonts w:hint="eastAsia" w:ascii="宋体" w:hAnsi="宋体" w:eastAsia="宋体" w:cs="宋体"/>
                <w:sz w:val="18"/>
                <w:szCs w:val="18"/>
                <w:lang w:val="en-US" w:eastAsia="zh-CN"/>
              </w:rPr>
              <w:t>准备案例相关数据</w:t>
            </w:r>
          </w:p>
        </w:tc>
        <w:tc>
          <w:tcPr>
            <w:tcW w:w="1356" w:type="dxa"/>
            <w:vMerge w:val="continue"/>
            <w:noWrap w:val="0"/>
            <w:vAlign w:val="center"/>
          </w:tcPr>
          <w:p w14:paraId="6E86541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pacing w:val="10"/>
                <w:sz w:val="18"/>
                <w:szCs w:val="18"/>
              </w:rPr>
            </w:pPr>
          </w:p>
        </w:tc>
      </w:tr>
      <w:tr w14:paraId="03D4A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1867490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195EDF6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center"/>
          </w:tcPr>
          <w:p w14:paraId="6019D0C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textAlignment w:val="auto"/>
              <w:rPr>
                <w:rFonts w:hint="eastAsia" w:ascii="宋体" w:hAnsi="宋体" w:eastAsia="宋体" w:cs="宋体"/>
                <w:color w:val="FF0000"/>
                <w:spacing w:val="10"/>
                <w:sz w:val="18"/>
                <w:szCs w:val="18"/>
                <w:lang w:val="en-US" w:eastAsia="zh-CN"/>
              </w:rPr>
            </w:pPr>
            <w:r>
              <w:rPr>
                <w:rFonts w:hint="eastAsia" w:ascii="宋体" w:hAnsi="宋体" w:eastAsia="宋体" w:cs="宋体"/>
                <w:sz w:val="18"/>
                <w:szCs w:val="18"/>
                <w:lang w:val="en-US" w:eastAsia="zh-CN"/>
              </w:rPr>
              <w:t>准备仿写文档</w:t>
            </w:r>
          </w:p>
        </w:tc>
        <w:tc>
          <w:tcPr>
            <w:tcW w:w="1356" w:type="dxa"/>
            <w:vMerge w:val="continue"/>
            <w:noWrap w:val="0"/>
            <w:vAlign w:val="center"/>
          </w:tcPr>
          <w:p w14:paraId="5FC4EA6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pacing w:val="10"/>
                <w:sz w:val="18"/>
                <w:szCs w:val="18"/>
              </w:rPr>
            </w:pPr>
          </w:p>
        </w:tc>
      </w:tr>
      <w:tr w14:paraId="76E357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02F48E2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08E8D99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rPr>
              <w:t>实施</w:t>
            </w:r>
            <w:r>
              <w:rPr>
                <w:rFonts w:hint="eastAsia" w:hAnsi="宋体" w:cs="宋体"/>
                <w:sz w:val="18"/>
                <w:szCs w:val="18"/>
                <w:lang w:val="en-US" w:eastAsia="zh-CN"/>
              </w:rPr>
              <w:t>步骤</w:t>
            </w:r>
          </w:p>
        </w:tc>
        <w:tc>
          <w:tcPr>
            <w:tcW w:w="5058" w:type="dxa"/>
            <w:noWrap w:val="0"/>
            <w:vAlign w:val="center"/>
          </w:tcPr>
          <w:p w14:paraId="0F49817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环保重点监控与企业避税的断点分布</w:t>
            </w:r>
          </w:p>
        </w:tc>
        <w:tc>
          <w:tcPr>
            <w:tcW w:w="1356" w:type="dxa"/>
            <w:vMerge w:val="continue"/>
            <w:noWrap w:val="0"/>
            <w:vAlign w:val="center"/>
          </w:tcPr>
          <w:p w14:paraId="7A16688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70B7C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69397F6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4F057AD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441E164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基准回归</w:t>
            </w:r>
          </w:p>
        </w:tc>
        <w:tc>
          <w:tcPr>
            <w:tcW w:w="1356" w:type="dxa"/>
            <w:vMerge w:val="continue"/>
            <w:noWrap w:val="0"/>
            <w:vAlign w:val="center"/>
          </w:tcPr>
          <w:p w14:paraId="0BE4022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3FB0C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6F6F6CC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589E071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5BB4EBA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b w:val="0"/>
                <w:kern w:val="2"/>
                <w:sz w:val="18"/>
                <w:szCs w:val="18"/>
                <w:lang w:val="en-US" w:eastAsia="zh-CN" w:bidi="ar"/>
              </w:rPr>
            </w:pPr>
            <w:r>
              <w:rPr>
                <w:rFonts w:hint="eastAsia" w:ascii="宋体" w:hAnsi="宋体" w:eastAsia="宋体" w:cs="宋体"/>
                <w:b w:val="0"/>
                <w:kern w:val="2"/>
                <w:sz w:val="18"/>
                <w:szCs w:val="18"/>
                <w:lang w:val="en-US" w:eastAsia="zh-CN" w:bidi="ar"/>
              </w:rPr>
              <w:t>企业避税的动态效应</w:t>
            </w:r>
          </w:p>
        </w:tc>
        <w:tc>
          <w:tcPr>
            <w:tcW w:w="1356" w:type="dxa"/>
            <w:vMerge w:val="continue"/>
            <w:noWrap w:val="0"/>
            <w:vAlign w:val="center"/>
          </w:tcPr>
          <w:p w14:paraId="440AC20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1BFDB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44D1EFB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1DAE582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78BCDEC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机制检验</w:t>
            </w:r>
          </w:p>
        </w:tc>
        <w:tc>
          <w:tcPr>
            <w:tcW w:w="1356" w:type="dxa"/>
            <w:vMerge w:val="continue"/>
            <w:noWrap w:val="0"/>
            <w:vAlign w:val="center"/>
          </w:tcPr>
          <w:p w14:paraId="64666B3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75A95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6000938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2A47811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16D4D4A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机制检验：财务约束</w:t>
            </w:r>
          </w:p>
        </w:tc>
        <w:tc>
          <w:tcPr>
            <w:tcW w:w="1356" w:type="dxa"/>
            <w:vMerge w:val="continue"/>
            <w:noWrap w:val="0"/>
            <w:vAlign w:val="center"/>
          </w:tcPr>
          <w:p w14:paraId="78DA82B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21EF5C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3E745A8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16A6F63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27FEA46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机制检验：规模大小</w:t>
            </w:r>
          </w:p>
        </w:tc>
        <w:tc>
          <w:tcPr>
            <w:tcW w:w="1356" w:type="dxa"/>
            <w:vMerge w:val="continue"/>
            <w:noWrap w:val="0"/>
            <w:vAlign w:val="center"/>
          </w:tcPr>
          <w:p w14:paraId="346E6B1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78A9A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68ADE77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646DADD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5008513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排除竞争性假说</w:t>
            </w:r>
          </w:p>
        </w:tc>
        <w:tc>
          <w:tcPr>
            <w:tcW w:w="1356" w:type="dxa"/>
            <w:vMerge w:val="continue"/>
            <w:noWrap w:val="0"/>
            <w:vAlign w:val="center"/>
          </w:tcPr>
          <w:p w14:paraId="210FE33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62A01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71270B2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53883F2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7DD0393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企业避税的手段</w:t>
            </w:r>
          </w:p>
        </w:tc>
        <w:tc>
          <w:tcPr>
            <w:tcW w:w="1356" w:type="dxa"/>
            <w:vMerge w:val="continue"/>
            <w:noWrap w:val="0"/>
            <w:vAlign w:val="center"/>
          </w:tcPr>
          <w:p w14:paraId="524381D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1FFE2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0B62099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1A1C67B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3BE58A2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进一步分析：不同的政策支持方式</w:t>
            </w:r>
          </w:p>
        </w:tc>
        <w:tc>
          <w:tcPr>
            <w:tcW w:w="1356" w:type="dxa"/>
            <w:vMerge w:val="continue"/>
            <w:noWrap w:val="0"/>
            <w:vAlign w:val="center"/>
          </w:tcPr>
          <w:p w14:paraId="3B4DB68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01915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54004A5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286246E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3F8A65E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主要变量描述性统计</w:t>
            </w:r>
          </w:p>
        </w:tc>
        <w:tc>
          <w:tcPr>
            <w:tcW w:w="1356" w:type="dxa"/>
            <w:vMerge w:val="continue"/>
            <w:noWrap w:val="0"/>
            <w:vAlign w:val="center"/>
          </w:tcPr>
          <w:p w14:paraId="0899C99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60EB9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16CB4DA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7AEBCE7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2C32343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平滑性检验</w:t>
            </w:r>
          </w:p>
        </w:tc>
        <w:tc>
          <w:tcPr>
            <w:tcW w:w="1356" w:type="dxa"/>
            <w:vMerge w:val="continue"/>
            <w:noWrap w:val="0"/>
            <w:vAlign w:val="center"/>
          </w:tcPr>
          <w:p w14:paraId="4770A9A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0087C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775F7CC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62C999F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47793A0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前定变量的连续性检验</w:t>
            </w:r>
          </w:p>
        </w:tc>
        <w:tc>
          <w:tcPr>
            <w:tcW w:w="1356" w:type="dxa"/>
            <w:vMerge w:val="continue"/>
            <w:noWrap w:val="0"/>
            <w:vAlign w:val="center"/>
          </w:tcPr>
          <w:p w14:paraId="72475BA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7A7F3F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1060AF4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2CC598A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574FB14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局部线性下不同带宽</w:t>
            </w:r>
          </w:p>
        </w:tc>
        <w:tc>
          <w:tcPr>
            <w:tcW w:w="1356" w:type="dxa"/>
            <w:vMerge w:val="continue"/>
            <w:noWrap w:val="0"/>
            <w:vAlign w:val="center"/>
          </w:tcPr>
          <w:p w14:paraId="2D574D2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00BA5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023CFB8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5D1D3B8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34D6B7C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稳健性检验</w:t>
            </w:r>
          </w:p>
        </w:tc>
        <w:tc>
          <w:tcPr>
            <w:tcW w:w="1356" w:type="dxa"/>
            <w:vMerge w:val="continue"/>
            <w:noWrap w:val="0"/>
            <w:vAlign w:val="center"/>
          </w:tcPr>
          <w:p w14:paraId="45BC2A1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105769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00A6303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4FD20AB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21E9D76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全局多项式估计结果</w:t>
            </w:r>
          </w:p>
        </w:tc>
        <w:tc>
          <w:tcPr>
            <w:tcW w:w="1356" w:type="dxa"/>
            <w:vMerge w:val="continue"/>
            <w:noWrap w:val="0"/>
            <w:vAlign w:val="center"/>
          </w:tcPr>
          <w:p w14:paraId="5B62052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002D6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1CC5DEA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1F7A77C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064C0D7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废气重点监控企业在断点两侧变化</w:t>
            </w:r>
          </w:p>
        </w:tc>
        <w:tc>
          <w:tcPr>
            <w:tcW w:w="1356" w:type="dxa"/>
            <w:vMerge w:val="continue"/>
            <w:noWrap w:val="0"/>
            <w:vAlign w:val="center"/>
          </w:tcPr>
          <w:p w14:paraId="1C7012E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42C26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28682C8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453461C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672DA90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企业避税的可能手段</w:t>
            </w:r>
          </w:p>
        </w:tc>
        <w:tc>
          <w:tcPr>
            <w:tcW w:w="1356" w:type="dxa"/>
            <w:vMerge w:val="continue"/>
            <w:noWrap w:val="0"/>
            <w:vAlign w:val="center"/>
          </w:tcPr>
          <w:p w14:paraId="55E7A48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4FE8DB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7FC2659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157564E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r>
              <w:rPr>
                <w:rFonts w:hint="eastAsia" w:ascii="宋体" w:hAnsi="宋体" w:eastAsia="宋体" w:cs="宋体"/>
                <w:sz w:val="18"/>
                <w:szCs w:val="18"/>
              </w:rPr>
              <w:t>实验总结</w:t>
            </w:r>
          </w:p>
        </w:tc>
        <w:tc>
          <w:tcPr>
            <w:tcW w:w="5058" w:type="dxa"/>
            <w:noWrap w:val="0"/>
            <w:vAlign w:val="center"/>
          </w:tcPr>
          <w:p w14:paraId="02A7BA2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hAnsi="宋体" w:cs="宋体"/>
                <w:spacing w:val="10"/>
                <w:sz w:val="18"/>
                <w:szCs w:val="18"/>
                <w:lang w:val="en-US" w:eastAsia="zh-CN"/>
              </w:rPr>
              <w:t>复现</w:t>
            </w:r>
            <w:r>
              <w:rPr>
                <w:rFonts w:hint="eastAsia" w:ascii="宋体" w:hAnsi="宋体" w:eastAsia="宋体" w:cs="宋体"/>
                <w:spacing w:val="10"/>
                <w:sz w:val="18"/>
                <w:szCs w:val="18"/>
                <w:lang w:val="en-US" w:eastAsia="zh-CN"/>
              </w:rPr>
              <w:t>完整案例及模型方法</w:t>
            </w:r>
          </w:p>
        </w:tc>
        <w:tc>
          <w:tcPr>
            <w:tcW w:w="1356" w:type="dxa"/>
            <w:vMerge w:val="continue"/>
            <w:noWrap w:val="0"/>
            <w:vAlign w:val="center"/>
          </w:tcPr>
          <w:p w14:paraId="2B46511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22B04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260295A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0B5F49E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2ACAA88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hAnsi="宋体" w:cs="宋体"/>
                <w:spacing w:val="10"/>
                <w:sz w:val="18"/>
                <w:szCs w:val="18"/>
                <w:lang w:val="en-US" w:eastAsia="zh-CN"/>
              </w:rPr>
            </w:pPr>
            <w:r>
              <w:rPr>
                <w:rFonts w:hint="eastAsia" w:hAnsi="宋体" w:cs="宋体"/>
                <w:spacing w:val="10"/>
                <w:sz w:val="18"/>
                <w:szCs w:val="18"/>
                <w:lang w:val="en-US" w:eastAsia="zh-CN"/>
              </w:rPr>
              <w:t>总结</w:t>
            </w:r>
            <w:r>
              <w:rPr>
                <w:rFonts w:hint="eastAsia" w:ascii="宋体" w:hAnsi="宋体" w:eastAsia="宋体" w:cs="宋体"/>
                <w:sz w:val="18"/>
                <w:szCs w:val="18"/>
                <w:lang w:bidi="ar"/>
              </w:rPr>
              <w:t>断点回归模型</w:t>
            </w:r>
            <w:r>
              <w:rPr>
                <w:rFonts w:hint="eastAsia" w:ascii="宋体" w:hAnsi="宋体" w:eastAsia="宋体" w:cs="宋体"/>
                <w:spacing w:val="10"/>
                <w:sz w:val="18"/>
                <w:szCs w:val="18"/>
                <w:lang w:val="en-US" w:eastAsia="zh-CN"/>
              </w:rPr>
              <w:t>建模技巧与论文写作技巧</w:t>
            </w:r>
          </w:p>
        </w:tc>
        <w:tc>
          <w:tcPr>
            <w:tcW w:w="1356" w:type="dxa"/>
            <w:vMerge w:val="continue"/>
            <w:noWrap w:val="0"/>
            <w:vAlign w:val="center"/>
          </w:tcPr>
          <w:p w14:paraId="23254EB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bl>
    <w:p w14:paraId="3EC63F21">
      <w:pPr>
        <w:pStyle w:val="6"/>
        <w:keepNext/>
        <w:keepLines/>
        <w:pageBreakBefore w:val="0"/>
        <w:widowControl w:val="0"/>
        <w:numPr>
          <w:ilvl w:val="1"/>
          <w:numId w:val="16"/>
        </w:numPr>
        <w:tabs>
          <w:tab w:val="left" w:pos="1320"/>
        </w:tabs>
        <w:kinsoku/>
        <w:wordWrap/>
        <w:overflowPunct/>
        <w:topLinePunct w:val="0"/>
        <w:autoSpaceDE/>
        <w:autoSpaceDN/>
        <w:bidi w:val="0"/>
        <w:adjustRightInd w:val="0"/>
        <w:snapToGrid w:val="0"/>
        <w:spacing w:beforeAutospacing="0" w:afterAutospacing="0" w:line="360" w:lineRule="auto"/>
        <w:ind w:left="0" w:right="0" w:firstLine="422" w:firstLineChars="200"/>
        <w:textAlignment w:val="auto"/>
        <w:outlineLvl w:val="2"/>
        <w:rPr>
          <w:rFonts w:hint="eastAsia" w:ascii="宋体" w:hAnsi="宋体" w:eastAsia="宋体" w:cs="宋体"/>
          <w:b/>
          <w:sz w:val="21"/>
          <w:szCs w:val="21"/>
          <w:lang w:val="en-US" w:eastAsia="zh-CN"/>
        </w:rPr>
      </w:pPr>
      <w:bookmarkStart w:id="54" w:name="_Toc31338"/>
      <w:r>
        <w:rPr>
          <w:rFonts w:hint="eastAsia" w:ascii="宋体" w:hAnsi="宋体" w:eastAsia="宋体" w:cs="宋体"/>
          <w:b/>
          <w:sz w:val="21"/>
          <w:szCs w:val="21"/>
          <w:lang w:val="en-US" w:eastAsia="zh-CN"/>
        </w:rPr>
        <w:t>多时点双重差分模型（资本市场国际化的鞭策效应_A股纳入MSCI指数与企业ESG表现）</w:t>
      </w:r>
      <w:bookmarkEnd w:id="54"/>
    </w:p>
    <w:bookmarkEnd w:id="47"/>
    <w:p w14:paraId="4DFD3057">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案例概述</w:t>
      </w:r>
    </w:p>
    <w:p w14:paraId="7FCFB61B">
      <w:pPr>
        <w:pageBreakBefore w:val="0"/>
        <w:widowControl w:val="0"/>
        <w:kinsoku/>
        <w:wordWrap/>
        <w:overflowPunct/>
        <w:topLinePunct w:val="0"/>
        <w:autoSpaceDE/>
        <w:autoSpaceDN/>
        <w:bidi w:val="0"/>
        <w:adjustRightInd w:val="0"/>
        <w:snapToGrid w:val="0"/>
        <w:spacing w:beforeAutospacing="0" w:afterAutospacing="0" w:line="360" w:lineRule="auto"/>
        <w:ind w:right="0" w:firstLine="360"/>
        <w:jc w:val="center"/>
        <w:textAlignment w:val="auto"/>
        <w:rPr>
          <w:rFonts w:hint="eastAsia" w:ascii="宋体" w:hAnsi="宋体" w:eastAsia="宋体" w:cs="宋体"/>
          <w:sz w:val="18"/>
          <w:szCs w:val="18"/>
          <w:lang w:val="en-US" w:eastAsia="zh-CN" w:bidi="ar"/>
        </w:rPr>
      </w:pPr>
      <w:r>
        <w:rPr>
          <w:rFonts w:hint="eastAsia" w:ascii="宋体" w:hAnsi="宋体" w:eastAsia="宋体" w:cs="宋体"/>
          <w:sz w:val="18"/>
          <w:szCs w:val="18"/>
          <w:lang w:bidi="ar"/>
        </w:rPr>
        <w:t>表</w:t>
      </w:r>
      <w:r>
        <w:rPr>
          <w:rFonts w:hint="eastAsia" w:ascii="宋体" w:hAnsi="宋体" w:cs="宋体"/>
          <w:sz w:val="18"/>
          <w:szCs w:val="18"/>
          <w:lang w:val="en-US" w:eastAsia="zh-CN" w:bidi="ar"/>
        </w:rPr>
        <w:t>15</w:t>
      </w:r>
      <w:r>
        <w:rPr>
          <w:rFonts w:hint="eastAsia" w:ascii="宋体" w:hAnsi="宋体" w:eastAsia="宋体" w:cs="宋体"/>
          <w:sz w:val="18"/>
          <w:szCs w:val="18"/>
          <w:lang w:bidi="ar"/>
        </w:rPr>
        <w:t xml:space="preserve"> 案例</w:t>
      </w:r>
      <w:r>
        <w:rPr>
          <w:rFonts w:hint="eastAsia" w:ascii="宋体" w:hAnsi="宋体" w:eastAsia="宋体" w:cs="宋体"/>
          <w:sz w:val="18"/>
          <w:szCs w:val="18"/>
          <w:lang w:val="en-US" w:eastAsia="zh-CN" w:bidi="ar"/>
        </w:rPr>
        <w:t>概述</w:t>
      </w:r>
    </w:p>
    <w:tbl>
      <w:tblPr>
        <w:tblStyle w:val="39"/>
        <w:tblW w:w="5012"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34"/>
        <w:gridCol w:w="7008"/>
      </w:tblGrid>
      <w:tr w14:paraId="425411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1534" w:type="dxa"/>
            <w:noWrap w:val="0"/>
            <w:vAlign w:val="center"/>
          </w:tcPr>
          <w:p w14:paraId="05CE6F1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b/>
                <w:bCs/>
                <w:sz w:val="18"/>
                <w:szCs w:val="18"/>
              </w:rPr>
            </w:pPr>
            <w:r>
              <w:rPr>
                <w:rFonts w:hint="eastAsia" w:hAnsi="宋体" w:cs="宋体"/>
                <w:b/>
                <w:bCs/>
                <w:sz w:val="18"/>
                <w:szCs w:val="18"/>
              </w:rPr>
              <w:t>模块</w:t>
            </w:r>
          </w:p>
        </w:tc>
        <w:tc>
          <w:tcPr>
            <w:tcW w:w="7008" w:type="dxa"/>
            <w:noWrap w:val="0"/>
            <w:vAlign w:val="center"/>
          </w:tcPr>
          <w:p w14:paraId="30606D4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b/>
                <w:bCs/>
                <w:sz w:val="18"/>
                <w:szCs w:val="18"/>
              </w:rPr>
            </w:pPr>
            <w:r>
              <w:rPr>
                <w:rFonts w:hint="eastAsia" w:hAnsi="宋体" w:cs="宋体"/>
                <w:b/>
                <w:bCs/>
                <w:sz w:val="18"/>
                <w:szCs w:val="18"/>
              </w:rPr>
              <w:t>模块内容</w:t>
            </w:r>
          </w:p>
        </w:tc>
      </w:tr>
      <w:tr w14:paraId="775F04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34" w:type="dxa"/>
            <w:noWrap w:val="0"/>
            <w:vAlign w:val="center"/>
          </w:tcPr>
          <w:p w14:paraId="256951E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sz w:val="18"/>
                <w:szCs w:val="18"/>
              </w:rPr>
            </w:pPr>
            <w:r>
              <w:rPr>
                <w:rFonts w:hint="eastAsia" w:hAnsi="宋体" w:cs="宋体"/>
                <w:sz w:val="18"/>
                <w:szCs w:val="18"/>
              </w:rPr>
              <w:t>课时设置</w:t>
            </w:r>
          </w:p>
        </w:tc>
        <w:tc>
          <w:tcPr>
            <w:tcW w:w="7008" w:type="dxa"/>
            <w:noWrap w:val="0"/>
            <w:vAlign w:val="center"/>
          </w:tcPr>
          <w:p w14:paraId="6C8D1AE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both"/>
              <w:textAlignment w:val="auto"/>
              <w:rPr>
                <w:rFonts w:hint="eastAsia" w:hAnsi="宋体" w:cs="宋体"/>
                <w:sz w:val="18"/>
                <w:szCs w:val="18"/>
              </w:rPr>
            </w:pPr>
            <w:r>
              <w:rPr>
                <w:rFonts w:hint="eastAsia" w:hAnsi="宋体" w:cs="宋体"/>
                <w:sz w:val="18"/>
                <w:szCs w:val="18"/>
              </w:rPr>
              <w:t>理论教学4学时，实践教学4学时，总计8学时。</w:t>
            </w:r>
          </w:p>
        </w:tc>
      </w:tr>
      <w:tr w14:paraId="6C7A99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1534" w:type="dxa"/>
            <w:noWrap w:val="0"/>
            <w:vAlign w:val="center"/>
          </w:tcPr>
          <w:p w14:paraId="4F155D0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sz w:val="18"/>
                <w:szCs w:val="18"/>
              </w:rPr>
            </w:pPr>
            <w:r>
              <w:rPr>
                <w:rFonts w:hint="eastAsia" w:hAnsi="宋体" w:cs="宋体"/>
                <w:sz w:val="18"/>
                <w:szCs w:val="18"/>
              </w:rPr>
              <w:t>案例资源</w:t>
            </w:r>
          </w:p>
        </w:tc>
        <w:tc>
          <w:tcPr>
            <w:tcW w:w="7008" w:type="dxa"/>
            <w:noWrap w:val="0"/>
            <w:vAlign w:val="center"/>
          </w:tcPr>
          <w:p w14:paraId="6284077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left"/>
              <w:textAlignment w:val="auto"/>
              <w:rPr>
                <w:rFonts w:hint="eastAsia" w:hAnsi="宋体" w:cs="宋体"/>
                <w:sz w:val="18"/>
                <w:szCs w:val="18"/>
              </w:rPr>
            </w:pPr>
            <w:r>
              <w:rPr>
                <w:rFonts w:hint="eastAsia" w:hAnsi="宋体" w:cs="宋体"/>
                <w:sz w:val="18"/>
                <w:szCs w:val="18"/>
              </w:rPr>
              <w:t>包含</w:t>
            </w:r>
            <w:r>
              <w:rPr>
                <w:rFonts w:hint="eastAsia" w:hAnsi="宋体" w:cs="宋体"/>
                <w:sz w:val="18"/>
                <w:szCs w:val="18"/>
                <w:lang w:val="en-US" w:eastAsia="zh-CN"/>
              </w:rPr>
              <w:t>14</w:t>
            </w:r>
            <w:r>
              <w:rPr>
                <w:rFonts w:hint="eastAsia" w:hAnsi="宋体" w:cs="宋体"/>
                <w:sz w:val="18"/>
                <w:szCs w:val="18"/>
              </w:rPr>
              <w:t>份实训指导书、</w:t>
            </w:r>
            <w:r>
              <w:rPr>
                <w:rFonts w:hint="eastAsia" w:hAnsi="宋体" w:cs="宋体"/>
                <w:sz w:val="18"/>
                <w:szCs w:val="18"/>
                <w:lang w:val="en-US" w:eastAsia="zh-CN"/>
              </w:rPr>
              <w:t>3</w:t>
            </w:r>
            <w:r>
              <w:rPr>
                <w:rFonts w:hint="eastAsia" w:hAnsi="宋体" w:cs="宋体"/>
                <w:sz w:val="18"/>
                <w:szCs w:val="18"/>
              </w:rPr>
              <w:t>份数据</w:t>
            </w:r>
            <w:r>
              <w:rPr>
                <w:rFonts w:hint="eastAsia" w:hAnsi="宋体" w:cs="宋体"/>
                <w:sz w:val="18"/>
                <w:szCs w:val="18"/>
                <w:lang w:eastAsia="zh-CN"/>
              </w:rPr>
              <w:t>、</w:t>
            </w:r>
            <w:r>
              <w:rPr>
                <w:rFonts w:hint="eastAsia" w:hAnsi="宋体" w:cs="宋体"/>
                <w:sz w:val="18"/>
                <w:szCs w:val="18"/>
                <w:lang w:val="en-US" w:eastAsia="zh-CN"/>
              </w:rPr>
              <w:t>1份论文仿写设计报告模板</w:t>
            </w:r>
            <w:r>
              <w:rPr>
                <w:rFonts w:hint="eastAsia" w:hAnsi="宋体" w:cs="宋体"/>
                <w:sz w:val="18"/>
                <w:szCs w:val="18"/>
              </w:rPr>
              <w:t>。</w:t>
            </w:r>
          </w:p>
        </w:tc>
      </w:tr>
      <w:tr w14:paraId="72AA14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34" w:type="dxa"/>
            <w:noWrap w:val="0"/>
            <w:vAlign w:val="center"/>
          </w:tcPr>
          <w:p w14:paraId="0C20309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sz w:val="18"/>
                <w:szCs w:val="18"/>
              </w:rPr>
            </w:pPr>
            <w:r>
              <w:rPr>
                <w:rFonts w:hint="eastAsia" w:hAnsi="宋体" w:cs="宋体"/>
                <w:sz w:val="18"/>
                <w:szCs w:val="18"/>
              </w:rPr>
              <w:t>技能点</w:t>
            </w:r>
          </w:p>
        </w:tc>
        <w:tc>
          <w:tcPr>
            <w:tcW w:w="7008" w:type="dxa"/>
            <w:noWrap w:val="0"/>
            <w:vAlign w:val="center"/>
          </w:tcPr>
          <w:p w14:paraId="6BFE566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left"/>
              <w:textAlignment w:val="auto"/>
              <w:rPr>
                <w:rFonts w:hint="eastAsia" w:hAnsi="宋体" w:cs="宋体"/>
                <w:sz w:val="18"/>
                <w:szCs w:val="18"/>
              </w:rPr>
            </w:pPr>
            <w:r>
              <w:rPr>
                <w:rFonts w:hint="eastAsia" w:hAnsi="宋体" w:cs="宋体"/>
                <w:sz w:val="18"/>
                <w:szCs w:val="18"/>
                <w:lang w:val="en-US" w:eastAsia="zh-CN"/>
              </w:rPr>
              <w:t>高效掌握多时点双重差分模型建模技巧与论文写作技巧</w:t>
            </w:r>
          </w:p>
        </w:tc>
      </w:tr>
      <w:tr w14:paraId="349742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2" w:hRule="atLeast"/>
          <w:jc w:val="center"/>
        </w:trPr>
        <w:tc>
          <w:tcPr>
            <w:tcW w:w="1534" w:type="dxa"/>
            <w:noWrap w:val="0"/>
            <w:vAlign w:val="center"/>
          </w:tcPr>
          <w:p w14:paraId="4731FD4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rPr>
                <w:rFonts w:hint="eastAsia" w:hAnsi="宋体" w:cs="宋体"/>
                <w:sz w:val="18"/>
                <w:szCs w:val="18"/>
              </w:rPr>
            </w:pPr>
            <w:r>
              <w:rPr>
                <w:rFonts w:hint="eastAsia" w:hAnsi="宋体" w:cs="宋体"/>
                <w:sz w:val="18"/>
                <w:szCs w:val="18"/>
                <w:lang w:val="en-US" w:eastAsia="zh-CN"/>
              </w:rPr>
              <w:t>操作复现</w:t>
            </w:r>
          </w:p>
        </w:tc>
        <w:tc>
          <w:tcPr>
            <w:tcW w:w="7008" w:type="dxa"/>
            <w:noWrap w:val="0"/>
            <w:vAlign w:val="center"/>
          </w:tcPr>
          <w:p w14:paraId="08B6671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left"/>
              <w:textAlignment w:val="auto"/>
              <w:rPr>
                <w:rFonts w:hint="eastAsia" w:hAnsi="宋体" w:cs="宋体"/>
                <w:sz w:val="18"/>
                <w:szCs w:val="18"/>
              </w:rPr>
            </w:pPr>
            <w:r>
              <w:rPr>
                <w:rFonts w:hint="eastAsia" w:hAnsi="宋体" w:cs="宋体"/>
                <w:sz w:val="18"/>
                <w:szCs w:val="18"/>
              </w:rPr>
              <w:t>资本市场国际化的鞭策效应_A股纳入MSCI指数与企业ESG表现</w:t>
            </w:r>
          </w:p>
        </w:tc>
      </w:tr>
    </w:tbl>
    <w:p w14:paraId="5DDF4526">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多时点双重差分模型（Staggered Difference-in-Differences，Staggered DiD 或多期DID）是传统双重差分模型（DID）的扩展，适用于处理组个体（如企业、地区、个人）在不同时间点接受政策干预的场景。其核心特点是处理组接受干预的时间点不同，且可能存在动态处理效应。</w:t>
      </w:r>
    </w:p>
    <w:p w14:paraId="1CA200D3">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处理时间异质性：允许不同个体在不同时间点接受干预，适用于政策分阶段实施的场景。</w:t>
      </w:r>
    </w:p>
    <w:p w14:paraId="0DC1A962">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动态效应分析：通过事件研究法（Event Study）或异质性分析，捕捉政策效果的时变特征。</w:t>
      </w:r>
    </w:p>
    <w:p w14:paraId="4A5B8EF4">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灵活性：可结合双向固定效应（控制个体和时间效应），提高估计精度。</w:t>
      </w:r>
    </w:p>
    <w:p w14:paraId="699DD5F1">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平行趋势假设严格：需检验处理组和对照组在干预前的趋势是否一致，否则可能导致估计偏差。</w:t>
      </w:r>
    </w:p>
    <w:p w14:paraId="4C531C45">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数据要求高：需要较长时间的面板数据（干预前后均有足够观测值）。</w:t>
      </w:r>
    </w:p>
    <w:p w14:paraId="6B40E210">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混杂事件干扰：若研究期内发生其他重大事件，可能干扰政策效果的识别。</w:t>
      </w:r>
    </w:p>
    <w:p w14:paraId="473AD89E">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多时点双重差分模型是一种强大的工具，适用于评估分阶段政策干预的效果，尤其在政策评估、技术扩散、公共卫生干预等领域具有重要应用价值。在实际应用中，需合理选择处理组和对照组，检验平行趋势假设，并通过动态效应分析和稳健性检验确保结果的可靠性。</w:t>
      </w:r>
    </w:p>
    <w:p w14:paraId="274410A2">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案例内容</w:t>
      </w:r>
    </w:p>
    <w:p w14:paraId="523AECDB">
      <w:pPr>
        <w:pageBreakBefore w:val="0"/>
        <w:widowControl w:val="0"/>
        <w:tabs>
          <w:tab w:val="left" w:pos="1320"/>
        </w:tabs>
        <w:kinsoku/>
        <w:wordWrap/>
        <w:overflowPunct/>
        <w:topLinePunct w:val="0"/>
        <w:autoSpaceDE/>
        <w:autoSpaceDN/>
        <w:bidi w:val="0"/>
        <w:adjustRightInd w:val="0"/>
        <w:snapToGrid w:val="0"/>
        <w:spacing w:beforeAutospacing="0" w:afterAutospacing="0" w:line="360" w:lineRule="auto"/>
        <w:ind w:right="0" w:firstLine="0" w:firstLineChars="0"/>
        <w:jc w:val="center"/>
        <w:textAlignment w:val="auto"/>
        <w:rPr>
          <w:rFonts w:hint="eastAsia" w:ascii="宋体" w:hAnsi="宋体" w:eastAsia="宋体" w:cs="宋体"/>
          <w:sz w:val="18"/>
          <w:szCs w:val="18"/>
          <w:lang w:val="en-US" w:eastAsia="zh-CN" w:bidi="ar"/>
        </w:rPr>
      </w:pPr>
      <w:r>
        <w:rPr>
          <w:rFonts w:hint="eastAsia" w:ascii="宋体" w:hAnsi="宋体" w:eastAsia="宋体" w:cs="宋体"/>
          <w:sz w:val="18"/>
          <w:szCs w:val="18"/>
          <w:lang w:bidi="ar"/>
        </w:rPr>
        <w:t>表</w:t>
      </w:r>
      <w:r>
        <w:rPr>
          <w:rFonts w:hint="eastAsia" w:ascii="宋体" w:hAnsi="宋体" w:cs="宋体"/>
          <w:sz w:val="18"/>
          <w:szCs w:val="18"/>
          <w:lang w:val="en-US" w:eastAsia="zh-CN" w:bidi="ar"/>
        </w:rPr>
        <w:t>16</w:t>
      </w:r>
      <w:r>
        <w:rPr>
          <w:rFonts w:hint="eastAsia" w:ascii="宋体" w:hAnsi="宋体" w:eastAsia="宋体" w:cs="宋体"/>
          <w:sz w:val="18"/>
          <w:szCs w:val="18"/>
          <w:lang w:bidi="ar"/>
        </w:rPr>
        <w:t xml:space="preserve"> 多时点双重差分模型（资本市场国际化的鞭策效应_A股纳入MSCI指数与企业ESG表现）</w:t>
      </w:r>
    </w:p>
    <w:tbl>
      <w:tblPr>
        <w:tblStyle w:val="18"/>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276587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095" w:type="dxa"/>
            <w:shd w:val="clear" w:color="auto" w:fill="E6E6E6"/>
            <w:noWrap w:val="0"/>
            <w:vAlign w:val="center"/>
          </w:tcPr>
          <w:p w14:paraId="53F1950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一级模块</w:t>
            </w:r>
          </w:p>
        </w:tc>
        <w:tc>
          <w:tcPr>
            <w:tcW w:w="1240" w:type="dxa"/>
            <w:shd w:val="clear" w:color="auto" w:fill="E6E6E6"/>
            <w:noWrap w:val="0"/>
            <w:vAlign w:val="center"/>
          </w:tcPr>
          <w:p w14:paraId="7224D90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二级模块</w:t>
            </w:r>
          </w:p>
        </w:tc>
        <w:tc>
          <w:tcPr>
            <w:tcW w:w="5058" w:type="dxa"/>
            <w:shd w:val="clear" w:color="auto" w:fill="E6E6E6"/>
            <w:noWrap w:val="0"/>
            <w:vAlign w:val="center"/>
          </w:tcPr>
          <w:p w14:paraId="53A1908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实验项目名称</w:t>
            </w:r>
          </w:p>
        </w:tc>
        <w:tc>
          <w:tcPr>
            <w:tcW w:w="1356" w:type="dxa"/>
            <w:shd w:val="clear" w:color="auto" w:fill="E6E6E6"/>
            <w:noWrap w:val="0"/>
            <w:vAlign w:val="center"/>
          </w:tcPr>
          <w:p w14:paraId="2465981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涉及平台</w:t>
            </w:r>
          </w:p>
        </w:tc>
      </w:tr>
      <w:tr w14:paraId="3559C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restart"/>
            <w:noWrap w:val="0"/>
            <w:vAlign w:val="center"/>
          </w:tcPr>
          <w:p w14:paraId="3C6C724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p w14:paraId="44A96D7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多时点双重差分模型（资本市场国际化的鞭策效应_A股纳入MSCI指数与企业ESG表现）</w:t>
            </w:r>
          </w:p>
        </w:tc>
        <w:tc>
          <w:tcPr>
            <w:tcW w:w="1240" w:type="dxa"/>
            <w:vMerge w:val="restart"/>
            <w:noWrap w:val="0"/>
            <w:vAlign w:val="center"/>
          </w:tcPr>
          <w:p w14:paraId="6281846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实验准备</w:t>
            </w:r>
          </w:p>
        </w:tc>
        <w:tc>
          <w:tcPr>
            <w:tcW w:w="5058" w:type="dxa"/>
            <w:noWrap w:val="0"/>
            <w:vAlign w:val="center"/>
          </w:tcPr>
          <w:p w14:paraId="48E877D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textAlignment w:val="auto"/>
              <w:rPr>
                <w:rFonts w:hint="eastAsia" w:ascii="宋体" w:hAnsi="宋体" w:eastAsia="宋体" w:cs="宋体"/>
                <w:color w:val="FF0000"/>
                <w:spacing w:val="10"/>
                <w:sz w:val="18"/>
                <w:szCs w:val="18"/>
                <w:lang w:val="en-US" w:eastAsia="zh-CN"/>
              </w:rPr>
            </w:pPr>
            <w:r>
              <w:rPr>
                <w:rFonts w:hint="eastAsia" w:ascii="宋体" w:hAnsi="宋体" w:eastAsia="宋体" w:cs="宋体"/>
                <w:sz w:val="18"/>
                <w:szCs w:val="18"/>
                <w:lang w:val="en-US" w:eastAsia="zh-CN"/>
              </w:rPr>
              <w:t>打开并登录平台学习案例相关理论知识</w:t>
            </w:r>
          </w:p>
        </w:tc>
        <w:tc>
          <w:tcPr>
            <w:tcW w:w="1356" w:type="dxa"/>
            <w:vMerge w:val="restart"/>
            <w:noWrap w:val="0"/>
            <w:vAlign w:val="center"/>
          </w:tcPr>
          <w:p w14:paraId="179BCAD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lang w:eastAsia="zh-CN"/>
              </w:rPr>
            </w:pPr>
            <w:r>
              <w:rPr>
                <w:rFonts w:hint="eastAsia" w:hAnsi="宋体" w:cs="宋体"/>
                <w:sz w:val="18"/>
                <w:szCs w:val="18"/>
                <w:lang w:eastAsia="zh-CN"/>
              </w:rPr>
              <w:t>AI金融计量教学平台</w:t>
            </w:r>
          </w:p>
        </w:tc>
      </w:tr>
      <w:tr w14:paraId="0081E2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4AC4DDB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6E71959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center"/>
          </w:tcPr>
          <w:p w14:paraId="455DB8F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textAlignment w:val="auto"/>
              <w:rPr>
                <w:rFonts w:hint="eastAsia" w:ascii="宋体" w:hAnsi="宋体" w:eastAsia="宋体" w:cs="宋体"/>
                <w:color w:val="FF0000"/>
                <w:spacing w:val="10"/>
                <w:sz w:val="18"/>
                <w:szCs w:val="18"/>
                <w:lang w:val="en-US" w:eastAsia="zh-CN"/>
              </w:rPr>
            </w:pPr>
            <w:r>
              <w:rPr>
                <w:rFonts w:hint="eastAsia" w:ascii="宋体" w:hAnsi="宋体" w:eastAsia="宋体" w:cs="宋体"/>
                <w:sz w:val="18"/>
                <w:szCs w:val="18"/>
                <w:lang w:val="en-US" w:eastAsia="zh-CN"/>
              </w:rPr>
              <w:t>准备案例相关数据</w:t>
            </w:r>
          </w:p>
        </w:tc>
        <w:tc>
          <w:tcPr>
            <w:tcW w:w="1356" w:type="dxa"/>
            <w:vMerge w:val="continue"/>
            <w:noWrap w:val="0"/>
            <w:vAlign w:val="center"/>
          </w:tcPr>
          <w:p w14:paraId="6FEABDC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pacing w:val="10"/>
                <w:sz w:val="18"/>
                <w:szCs w:val="18"/>
              </w:rPr>
            </w:pPr>
          </w:p>
        </w:tc>
      </w:tr>
      <w:tr w14:paraId="20546B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1A11864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59D8DED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058" w:type="dxa"/>
            <w:noWrap w:val="0"/>
            <w:vAlign w:val="center"/>
          </w:tcPr>
          <w:p w14:paraId="14DD3C4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textAlignment w:val="auto"/>
              <w:rPr>
                <w:rFonts w:hint="eastAsia" w:ascii="宋体" w:hAnsi="宋体" w:eastAsia="宋体" w:cs="宋体"/>
                <w:color w:val="FF0000"/>
                <w:spacing w:val="10"/>
                <w:sz w:val="18"/>
                <w:szCs w:val="18"/>
                <w:lang w:val="en-US" w:eastAsia="zh-CN"/>
              </w:rPr>
            </w:pPr>
            <w:r>
              <w:rPr>
                <w:rFonts w:hint="eastAsia" w:ascii="宋体" w:hAnsi="宋体" w:eastAsia="宋体" w:cs="宋体"/>
                <w:sz w:val="18"/>
                <w:szCs w:val="18"/>
                <w:lang w:val="en-US" w:eastAsia="zh-CN"/>
              </w:rPr>
              <w:t>准备仿写文档</w:t>
            </w:r>
          </w:p>
        </w:tc>
        <w:tc>
          <w:tcPr>
            <w:tcW w:w="1356" w:type="dxa"/>
            <w:vMerge w:val="continue"/>
            <w:noWrap w:val="0"/>
            <w:vAlign w:val="center"/>
          </w:tcPr>
          <w:p w14:paraId="3D6B55A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pacing w:val="10"/>
                <w:sz w:val="18"/>
                <w:szCs w:val="18"/>
              </w:rPr>
            </w:pPr>
          </w:p>
        </w:tc>
      </w:tr>
      <w:tr w14:paraId="36201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0EA32E7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3249827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rPr>
              <w:t>实施</w:t>
            </w:r>
            <w:r>
              <w:rPr>
                <w:rFonts w:hint="eastAsia" w:hAnsi="宋体" w:cs="宋体"/>
                <w:sz w:val="18"/>
                <w:szCs w:val="18"/>
                <w:lang w:val="en-US" w:eastAsia="zh-CN"/>
              </w:rPr>
              <w:t>步骤</w:t>
            </w:r>
          </w:p>
        </w:tc>
        <w:tc>
          <w:tcPr>
            <w:tcW w:w="5058" w:type="dxa"/>
            <w:noWrap w:val="0"/>
            <w:vAlign w:val="center"/>
          </w:tcPr>
          <w:p w14:paraId="23D11DC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主要变量的描述性统计</w:t>
            </w:r>
          </w:p>
        </w:tc>
        <w:tc>
          <w:tcPr>
            <w:tcW w:w="1356" w:type="dxa"/>
            <w:vMerge w:val="continue"/>
            <w:noWrap w:val="0"/>
            <w:vAlign w:val="center"/>
          </w:tcPr>
          <w:p w14:paraId="752F1F6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14F3B4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17F33CF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35AA5AF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3826E79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A股纳入MSCI指数对企业ESG表现的影响</w:t>
            </w:r>
          </w:p>
        </w:tc>
        <w:tc>
          <w:tcPr>
            <w:tcW w:w="1356" w:type="dxa"/>
            <w:vMerge w:val="continue"/>
            <w:noWrap w:val="0"/>
            <w:vAlign w:val="center"/>
          </w:tcPr>
          <w:p w14:paraId="4415927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1FFBA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2B5C1A3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6DE1886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1A0655B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b w:val="0"/>
                <w:kern w:val="2"/>
                <w:sz w:val="18"/>
                <w:szCs w:val="18"/>
                <w:lang w:val="en-US" w:eastAsia="zh-CN" w:bidi="ar"/>
              </w:rPr>
            </w:pPr>
            <w:r>
              <w:rPr>
                <w:rFonts w:hint="eastAsia" w:ascii="宋体" w:hAnsi="宋体" w:eastAsia="宋体" w:cs="宋体"/>
                <w:b w:val="0"/>
                <w:kern w:val="2"/>
                <w:sz w:val="18"/>
                <w:szCs w:val="18"/>
                <w:lang w:val="en-US" w:eastAsia="zh-CN" w:bidi="ar"/>
              </w:rPr>
              <w:t>稳健性检验</w:t>
            </w:r>
          </w:p>
        </w:tc>
        <w:tc>
          <w:tcPr>
            <w:tcW w:w="1356" w:type="dxa"/>
            <w:vMerge w:val="continue"/>
            <w:noWrap w:val="0"/>
            <w:vAlign w:val="center"/>
          </w:tcPr>
          <w:p w14:paraId="35F1748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6CF06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6C6BBB7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30450A3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6D1927F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机制分析</w:t>
            </w:r>
          </w:p>
        </w:tc>
        <w:tc>
          <w:tcPr>
            <w:tcW w:w="1356" w:type="dxa"/>
            <w:vMerge w:val="continue"/>
            <w:noWrap w:val="0"/>
            <w:vAlign w:val="center"/>
          </w:tcPr>
          <w:p w14:paraId="5196F53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751B9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6B332E4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3976128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0B7D612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ESG分项、高管海外经历、污染企业的影响</w:t>
            </w:r>
          </w:p>
        </w:tc>
        <w:tc>
          <w:tcPr>
            <w:tcW w:w="1356" w:type="dxa"/>
            <w:vMerge w:val="continue"/>
            <w:noWrap w:val="0"/>
            <w:vAlign w:val="center"/>
          </w:tcPr>
          <w:p w14:paraId="7ACAD93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15D48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38FA723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4C1781A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0463040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市场竞争、地区开放水平、沪深港通的影响</w:t>
            </w:r>
          </w:p>
        </w:tc>
        <w:tc>
          <w:tcPr>
            <w:tcW w:w="1356" w:type="dxa"/>
            <w:vMerge w:val="continue"/>
            <w:noWrap w:val="0"/>
            <w:vAlign w:val="center"/>
          </w:tcPr>
          <w:p w14:paraId="1EA09B6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58951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76C91F8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676143B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7907498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“入摩”的经济后果分析</w:t>
            </w:r>
          </w:p>
        </w:tc>
        <w:tc>
          <w:tcPr>
            <w:tcW w:w="1356" w:type="dxa"/>
            <w:vMerge w:val="continue"/>
            <w:noWrap w:val="0"/>
            <w:vAlign w:val="center"/>
          </w:tcPr>
          <w:p w14:paraId="610884D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7DB874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31CF911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7271BE6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148CC32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平衡趋势检验表格</w:t>
            </w:r>
          </w:p>
        </w:tc>
        <w:tc>
          <w:tcPr>
            <w:tcW w:w="1356" w:type="dxa"/>
            <w:vMerge w:val="continue"/>
            <w:noWrap w:val="0"/>
            <w:vAlign w:val="center"/>
          </w:tcPr>
          <w:p w14:paraId="02ED426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1EC36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37F3CB8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6B086ED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721B2D1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平行趋势检验</w:t>
            </w:r>
          </w:p>
        </w:tc>
        <w:tc>
          <w:tcPr>
            <w:tcW w:w="1356" w:type="dxa"/>
            <w:vMerge w:val="continue"/>
            <w:noWrap w:val="0"/>
            <w:vAlign w:val="center"/>
          </w:tcPr>
          <w:p w14:paraId="1B9BE3B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65FD20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0034716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0A467E8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12FF25B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稳健性检验表格</w:t>
            </w:r>
          </w:p>
        </w:tc>
        <w:tc>
          <w:tcPr>
            <w:tcW w:w="1356" w:type="dxa"/>
            <w:vMerge w:val="continue"/>
            <w:noWrap w:val="0"/>
            <w:vAlign w:val="center"/>
          </w:tcPr>
          <w:p w14:paraId="0D19942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634353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714A2D4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61E78FF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2781646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排除其他资本市场开放事件</w:t>
            </w:r>
          </w:p>
        </w:tc>
        <w:tc>
          <w:tcPr>
            <w:tcW w:w="1356" w:type="dxa"/>
            <w:vMerge w:val="continue"/>
            <w:noWrap w:val="0"/>
            <w:vAlign w:val="center"/>
          </w:tcPr>
          <w:p w14:paraId="0DDBB9F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1B2E5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2148DAC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4E595C3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4771B71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随机处理企业后的系数分布</w:t>
            </w:r>
          </w:p>
        </w:tc>
        <w:tc>
          <w:tcPr>
            <w:tcW w:w="1356" w:type="dxa"/>
            <w:vMerge w:val="continue"/>
            <w:noWrap w:val="0"/>
            <w:vAlign w:val="center"/>
          </w:tcPr>
          <w:p w14:paraId="3B5D67E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68E85E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1C32262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231EB5C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0D18535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随机处理时间后的系数分布</w:t>
            </w:r>
          </w:p>
        </w:tc>
        <w:tc>
          <w:tcPr>
            <w:tcW w:w="1356" w:type="dxa"/>
            <w:vMerge w:val="continue"/>
            <w:noWrap w:val="0"/>
            <w:vAlign w:val="center"/>
          </w:tcPr>
          <w:p w14:paraId="1F0A482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23C9FC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0D1C304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0BCFF45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r>
              <w:rPr>
                <w:rFonts w:hint="eastAsia" w:ascii="宋体" w:hAnsi="宋体" w:eastAsia="宋体" w:cs="宋体"/>
                <w:sz w:val="18"/>
                <w:szCs w:val="18"/>
              </w:rPr>
              <w:t>实验总结</w:t>
            </w:r>
          </w:p>
        </w:tc>
        <w:tc>
          <w:tcPr>
            <w:tcW w:w="5058" w:type="dxa"/>
            <w:noWrap w:val="0"/>
            <w:vAlign w:val="center"/>
          </w:tcPr>
          <w:p w14:paraId="0E2377F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hAnsi="宋体" w:cs="宋体"/>
                <w:spacing w:val="10"/>
                <w:sz w:val="18"/>
                <w:szCs w:val="18"/>
                <w:lang w:val="en-US" w:eastAsia="zh-CN"/>
              </w:rPr>
              <w:t>复现</w:t>
            </w:r>
            <w:r>
              <w:rPr>
                <w:rFonts w:hint="eastAsia" w:ascii="宋体" w:hAnsi="宋体" w:eastAsia="宋体" w:cs="宋体"/>
                <w:spacing w:val="10"/>
                <w:sz w:val="18"/>
                <w:szCs w:val="18"/>
                <w:lang w:val="en-US" w:eastAsia="zh-CN"/>
              </w:rPr>
              <w:t>完整案例及模型方法</w:t>
            </w:r>
          </w:p>
        </w:tc>
        <w:tc>
          <w:tcPr>
            <w:tcW w:w="1356" w:type="dxa"/>
            <w:vMerge w:val="continue"/>
            <w:noWrap w:val="0"/>
            <w:vAlign w:val="center"/>
          </w:tcPr>
          <w:p w14:paraId="53E9944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16FD1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95" w:type="dxa"/>
            <w:vMerge w:val="continue"/>
            <w:noWrap w:val="0"/>
            <w:vAlign w:val="center"/>
          </w:tcPr>
          <w:p w14:paraId="4538606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1FC5EF7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058" w:type="dxa"/>
            <w:noWrap w:val="0"/>
            <w:vAlign w:val="center"/>
          </w:tcPr>
          <w:p w14:paraId="40DCFA2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hAnsi="宋体" w:cs="宋体"/>
                <w:spacing w:val="10"/>
                <w:sz w:val="18"/>
                <w:szCs w:val="18"/>
                <w:lang w:val="en-US" w:eastAsia="zh-CN"/>
              </w:rPr>
            </w:pPr>
            <w:r>
              <w:rPr>
                <w:rFonts w:hint="eastAsia" w:hAnsi="宋体" w:cs="宋体"/>
                <w:spacing w:val="10"/>
                <w:sz w:val="18"/>
                <w:szCs w:val="18"/>
                <w:lang w:val="en-US" w:eastAsia="zh-CN"/>
              </w:rPr>
              <w:t>总结</w:t>
            </w:r>
            <w:r>
              <w:rPr>
                <w:rFonts w:hint="eastAsia" w:ascii="宋体" w:hAnsi="宋体" w:eastAsia="宋体" w:cs="宋体"/>
                <w:sz w:val="18"/>
                <w:szCs w:val="18"/>
                <w:lang w:bidi="ar"/>
              </w:rPr>
              <w:t>多时点双重差分模型</w:t>
            </w:r>
            <w:r>
              <w:rPr>
                <w:rFonts w:hint="eastAsia" w:ascii="宋体" w:hAnsi="宋体" w:eastAsia="宋体" w:cs="宋体"/>
                <w:spacing w:val="10"/>
                <w:sz w:val="18"/>
                <w:szCs w:val="18"/>
                <w:lang w:val="en-US" w:eastAsia="zh-CN"/>
              </w:rPr>
              <w:t>建模技巧与论文写作技巧</w:t>
            </w:r>
          </w:p>
        </w:tc>
        <w:tc>
          <w:tcPr>
            <w:tcW w:w="1356" w:type="dxa"/>
            <w:vMerge w:val="continue"/>
            <w:noWrap w:val="0"/>
            <w:vAlign w:val="center"/>
          </w:tcPr>
          <w:p w14:paraId="247116F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bl>
    <w:p w14:paraId="5D26E873">
      <w:pPr>
        <w:pStyle w:val="6"/>
        <w:keepNext/>
        <w:keepLines/>
        <w:pageBreakBefore w:val="0"/>
        <w:widowControl w:val="0"/>
        <w:numPr>
          <w:ilvl w:val="0"/>
          <w:numId w:val="0"/>
        </w:numPr>
        <w:tabs>
          <w:tab w:val="left" w:pos="1320"/>
        </w:tabs>
        <w:kinsoku/>
        <w:wordWrap/>
        <w:overflowPunct/>
        <w:topLinePunct w:val="0"/>
        <w:autoSpaceDE/>
        <w:autoSpaceDN/>
        <w:bidi w:val="0"/>
        <w:adjustRightInd w:val="0"/>
        <w:snapToGrid w:val="0"/>
        <w:spacing w:beforeAutospacing="0" w:afterAutospacing="0" w:line="360" w:lineRule="auto"/>
        <w:ind w:right="0" w:rightChars="0"/>
        <w:textAlignment w:val="auto"/>
        <w:outlineLvl w:val="9"/>
        <w:rPr>
          <w:rFonts w:hint="eastAsia" w:ascii="宋体" w:hAnsi="宋体" w:eastAsia="宋体" w:cs="宋体"/>
          <w:b/>
          <w:sz w:val="21"/>
          <w:szCs w:val="21"/>
          <w:lang w:val="en-US" w:eastAsia="zh-CN"/>
        </w:rPr>
      </w:pPr>
    </w:p>
    <w:sectPr>
      <w:headerReference r:id="rId12" w:type="default"/>
      <w:footerReference r:id="rId13" w:type="default"/>
      <w:pgSz w:w="11906" w:h="16838"/>
      <w:pgMar w:top="1440" w:right="1800" w:bottom="1440" w:left="1800" w:header="851" w:footer="992" w:gutter="0"/>
      <w:pgNumType w:start="1"/>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4F38A5">
    <w:pPr>
      <w:pStyle w:val="12"/>
      <w:tabs>
        <w:tab w:val="clear" w:pos="4153"/>
      </w:tabs>
      <w:ind w:firstLine="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3A55E6">
    <w:pPr>
      <w:pStyle w:val="12"/>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B8DEE9">
    <w:pPr>
      <w:pStyle w:val="12"/>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DA3E45">
    <w:pPr>
      <w:pStyle w:val="12"/>
      <w:tabs>
        <w:tab w:val="clear" w:pos="4153"/>
      </w:tabs>
      <w:ind w:firstLine="440"/>
      <w:jc w:val="center"/>
      <w:rPr>
        <w:color w:val="000000"/>
      </w:rPr>
    </w:pPr>
    <w:r>
      <w:rPr>
        <w:color w:val="000000"/>
        <w:sz w:val="22"/>
        <w:szCs w:val="22"/>
      </w:rPr>
      <w:fldChar w:fldCharType="begin"/>
    </w:r>
    <w:r>
      <w:rPr>
        <w:color w:val="000000"/>
      </w:rPr>
      <w:instrText xml:space="preserve">PAGE  \* ROMAN  \* MERGEFORMAT</w:instrText>
    </w:r>
    <w:r>
      <w:rPr>
        <w:color w:val="000000"/>
        <w:sz w:val="22"/>
        <w:szCs w:val="22"/>
      </w:rPr>
      <w:fldChar w:fldCharType="separate"/>
    </w:r>
    <w:r>
      <w:rPr>
        <w:color w:val="000000"/>
        <w:sz w:val="28"/>
        <w:szCs w:val="28"/>
        <w:lang w:val="zh-CN"/>
      </w:rPr>
      <w:t>I</w:t>
    </w:r>
    <w:r>
      <w:rPr>
        <w:color w:val="000000"/>
        <w:sz w:val="28"/>
        <w:szCs w:val="28"/>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C55DB4">
    <w:pPr>
      <w:pStyle w:val="12"/>
      <w:tabs>
        <w:tab w:val="clear" w:pos="4153"/>
      </w:tabs>
      <w:ind w:firstLine="360"/>
      <w:jc w:val="cente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287020" cy="139700"/>
              <wp:effectExtent l="0" t="0" r="635" b="0"/>
              <wp:wrapNone/>
              <wp:docPr id="656050421" name="文本框 18"/>
              <wp:cNvGraphicFramePr/>
              <a:graphic xmlns:a="http://schemas.openxmlformats.org/drawingml/2006/main">
                <a:graphicData uri="http://schemas.microsoft.com/office/word/2010/wordprocessingShape">
                  <wps:wsp>
                    <wps:cNvSpPr txBox="1">
                      <a:spLocks noChangeArrowheads="1"/>
                    </wps:cNvSpPr>
                    <wps:spPr bwMode="auto">
                      <a:xfrm>
                        <a:off x="0" y="0"/>
                        <a:ext cx="287020" cy="139700"/>
                      </a:xfrm>
                      <a:prstGeom prst="rect">
                        <a:avLst/>
                      </a:prstGeom>
                      <a:noFill/>
                      <a:ln>
                        <a:noFill/>
                      </a:ln>
                      <a:effectLst/>
                    </wps:spPr>
                    <wps:txbx>
                      <w:txbxContent>
                        <w:p w14:paraId="7FD97D15">
                          <w:pPr>
                            <w:pStyle w:val="12"/>
                            <w:ind w:firstLine="360"/>
                          </w:pPr>
                          <w:r>
                            <w:fldChar w:fldCharType="begin"/>
                          </w:r>
                          <w:r>
                            <w:instrText xml:space="preserve"> PAGE  \* MERGEFORMAT </w:instrText>
                          </w:r>
                          <w:r>
                            <w:fldChar w:fldCharType="separate"/>
                          </w:r>
                          <w:r>
                            <w:t>11</w:t>
                          </w:r>
                          <w:r>
                            <w:fldChar w:fldCharType="end"/>
                          </w:r>
                        </w:p>
                      </w:txbxContent>
                    </wps:txbx>
                    <wps:bodyPr rot="0" vert="horz" wrap="none" lIns="0" tIns="0" rIns="0" bIns="0" anchor="t" anchorCtr="0" upright="1">
                      <a:spAutoFit/>
                    </wps:bodyPr>
                  </wps:wsp>
                </a:graphicData>
              </a:graphic>
            </wp:anchor>
          </w:drawing>
        </mc:Choice>
        <mc:Fallback>
          <w:pict>
            <v:shape id="文本框 18" o:spid="_x0000_s1026" o:spt="202" type="#_x0000_t202" style="position:absolute;left:0pt;margin-top:0pt;height:11pt;width:22.6pt;mso-position-horizontal:center;mso-position-horizontal-relative:margin;mso-wrap-style:none;z-index:251661312;mso-width-relative:page;mso-height-relative:page;" filled="f" stroked="f" coordsize="21600,21600" o:gfxdata="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M2++RNEAAAADAQAADwAAAAAAAAAB&#10;ACAAAAAiAAAAZHJzL2Rvd25yZXYueG1sUEsBAhQAFAAAAAgAh07iQAC0sfUXAgAAGQQAAA4AAAAA&#10;AAAAAQAgAAAAIAEAAGRycy9lMm9Eb2MueG1sUEsFBgAAAAAGAAYAWQEAAKkFAAAAAA==&#10;">
              <v:fill on="f" focussize="0,0"/>
              <v:stroke on="f"/>
              <v:imagedata o:title=""/>
              <o:lock v:ext="edit" aspectratio="f"/>
              <v:textbox inset="0mm,0mm,0mm,0mm" style="mso-fit-shape-to-text:t;">
                <w:txbxContent>
                  <w:p w14:paraId="7FD97D15">
                    <w:pPr>
                      <w:pStyle w:val="12"/>
                      <w:ind w:firstLine="360"/>
                    </w:pPr>
                    <w:r>
                      <w:fldChar w:fldCharType="begin"/>
                    </w:r>
                    <w:r>
                      <w:instrText xml:space="preserve"> PAGE  \* MERGEFORMAT </w:instrText>
                    </w:r>
                    <w:r>
                      <w:fldChar w:fldCharType="separate"/>
                    </w:r>
                    <w:r>
                      <w:t>11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C98579">
    <w:pPr>
      <w:pStyle w:val="13"/>
      <w:pBdr>
        <w:bottom w:val="none" w:color="auto" w:sz="0" w:space="1"/>
      </w:pBdr>
      <w:ind w:firstLine="360"/>
      <w:rPr>
        <w:rFonts w:hint="eastAsia" w:ascii="宋体" w:hAnsi="宋体" w:cs="宋体"/>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01E7ED">
    <w:pPr>
      <w:pStyle w:val="13"/>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5A238F">
    <w:pPr>
      <w:pStyle w:val="13"/>
      <w:pBdr>
        <w:bottom w:val="none" w:color="auto" w:sz="0" w:space="1"/>
      </w:pBdr>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850D34">
    <w:pPr>
      <w:pStyle w:val="13"/>
      <w:ind w:firstLine="360"/>
    </w:pPr>
    <w:bookmarkStart w:id="55" w:name="_Hlk178243777"/>
    <w:r>
      <w:rPr>
        <w:rFonts w:hint="eastAsia" w:eastAsia="微软雅黑"/>
      </w:rPr>
      <w:drawing>
        <wp:inline distT="0" distB="0" distL="0" distR="0">
          <wp:extent cx="1325880" cy="237490"/>
          <wp:effectExtent l="0" t="0" r="7620" b="0"/>
          <wp:docPr id="1432465863" name="图片 4" descr="logo黑色文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465863" name="图片 4" descr="logo黑色文字"/>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325880" cy="237490"/>
                  </a:xfrm>
                  <a:prstGeom prst="rect">
                    <a:avLst/>
                  </a:prstGeom>
                  <a:noFill/>
                  <a:ln>
                    <a:noFill/>
                  </a:ln>
                  <a:effectLst/>
                </pic:spPr>
              </pic:pic>
            </a:graphicData>
          </a:graphic>
        </wp:inline>
      </w:drawing>
    </w:r>
    <w:bookmarkEnd w:id="55"/>
    <w:r>
      <w:t> </w:t>
    </w:r>
    <w:r>
      <w:rPr>
        <w:rFonts w:hint="eastAsia"/>
      </w:rPr>
      <w:t xml:space="preserve">    </w:t>
    </w:r>
    <w:r>
      <w:t> www.jiecl.com  微信公众号：</w:t>
    </w:r>
    <w:r>
      <w:rPr>
        <w:rFonts w:hint="eastAsia"/>
        <w:lang w:eastAsia="zh-CN"/>
      </w:rPr>
      <w:t>杰科力AI教学</w:t>
    </w:r>
    <w:r>
      <w:t>    TEL:028-81711073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80C175"/>
    <w:multiLevelType w:val="singleLevel"/>
    <w:tmpl w:val="8080C175"/>
    <w:lvl w:ilvl="0" w:tentative="0">
      <w:start w:val="1"/>
      <w:numFmt w:val="decimalEnclosedCircleChinese"/>
      <w:suff w:val="nothing"/>
      <w:lvlText w:val="%1　"/>
      <w:lvlJc w:val="left"/>
      <w:pPr>
        <w:ind w:left="0" w:firstLine="400"/>
      </w:pPr>
      <w:rPr>
        <w:rFonts w:hint="eastAsia"/>
      </w:rPr>
    </w:lvl>
  </w:abstractNum>
  <w:abstractNum w:abstractNumId="1">
    <w:nsid w:val="946F5E43"/>
    <w:multiLevelType w:val="singleLevel"/>
    <w:tmpl w:val="946F5E43"/>
    <w:lvl w:ilvl="0" w:tentative="0">
      <w:start w:val="1"/>
      <w:numFmt w:val="decimalEnclosedCircleChinese"/>
      <w:suff w:val="nothing"/>
      <w:lvlText w:val="%1　"/>
      <w:lvlJc w:val="left"/>
      <w:pPr>
        <w:ind w:left="0" w:firstLine="400"/>
      </w:pPr>
      <w:rPr>
        <w:rFonts w:hint="eastAsia"/>
      </w:rPr>
    </w:lvl>
  </w:abstractNum>
  <w:abstractNum w:abstractNumId="2">
    <w:nsid w:val="A02964A3"/>
    <w:multiLevelType w:val="singleLevel"/>
    <w:tmpl w:val="A02964A3"/>
    <w:lvl w:ilvl="0" w:tentative="0">
      <w:start w:val="1"/>
      <w:numFmt w:val="decimalEnclosedCircleChinese"/>
      <w:suff w:val="nothing"/>
      <w:lvlText w:val="%1　"/>
      <w:lvlJc w:val="left"/>
      <w:pPr>
        <w:ind w:left="0" w:firstLine="400"/>
      </w:pPr>
      <w:rPr>
        <w:rFonts w:hint="eastAsia"/>
      </w:rPr>
    </w:lvl>
  </w:abstractNum>
  <w:abstractNum w:abstractNumId="3">
    <w:nsid w:val="A408C1AB"/>
    <w:multiLevelType w:val="singleLevel"/>
    <w:tmpl w:val="A408C1AB"/>
    <w:lvl w:ilvl="0" w:tentative="0">
      <w:start w:val="1"/>
      <w:numFmt w:val="decimalEnclosedCircleChinese"/>
      <w:suff w:val="nothing"/>
      <w:lvlText w:val="%1　"/>
      <w:lvlJc w:val="left"/>
      <w:pPr>
        <w:ind w:left="0" w:firstLine="400"/>
      </w:pPr>
      <w:rPr>
        <w:rFonts w:hint="eastAsia"/>
      </w:rPr>
    </w:lvl>
  </w:abstractNum>
  <w:abstractNum w:abstractNumId="4">
    <w:nsid w:val="BAA4C407"/>
    <w:multiLevelType w:val="singleLevel"/>
    <w:tmpl w:val="BAA4C407"/>
    <w:lvl w:ilvl="0" w:tentative="0">
      <w:start w:val="1"/>
      <w:numFmt w:val="decimalEnclosedCircleChinese"/>
      <w:suff w:val="nothing"/>
      <w:lvlText w:val="%1　"/>
      <w:lvlJc w:val="left"/>
      <w:pPr>
        <w:ind w:left="0" w:firstLine="400"/>
      </w:pPr>
      <w:rPr>
        <w:rFonts w:hint="eastAsia"/>
      </w:rPr>
    </w:lvl>
  </w:abstractNum>
  <w:abstractNum w:abstractNumId="5">
    <w:nsid w:val="C9C2033F"/>
    <w:multiLevelType w:val="singleLevel"/>
    <w:tmpl w:val="C9C2033F"/>
    <w:lvl w:ilvl="0" w:tentative="0">
      <w:start w:val="1"/>
      <w:numFmt w:val="decimal"/>
      <w:suff w:val="nothing"/>
      <w:lvlText w:val="%1．"/>
      <w:lvlJc w:val="left"/>
      <w:pPr>
        <w:ind w:left="0" w:firstLine="400"/>
      </w:pPr>
      <w:rPr>
        <w:rFonts w:hint="default"/>
      </w:rPr>
    </w:lvl>
  </w:abstractNum>
  <w:abstractNum w:abstractNumId="6">
    <w:nsid w:val="00000004"/>
    <w:multiLevelType w:val="multilevel"/>
    <w:tmpl w:val="00000004"/>
    <w:lvl w:ilvl="0" w:tentative="0">
      <w:start w:val="1"/>
      <w:numFmt w:val="bullet"/>
      <w:lvlText w:val=""/>
      <w:lvlJc w:val="left"/>
      <w:pPr>
        <w:tabs>
          <w:tab w:val="left" w:pos="900"/>
        </w:tabs>
        <w:ind w:left="900" w:hanging="420"/>
      </w:pPr>
      <w:rPr>
        <w:rFonts w:hint="default" w:ascii="Wingdings" w:hAnsi="Wingdings"/>
      </w:rPr>
    </w:lvl>
    <w:lvl w:ilvl="1" w:tentative="0">
      <w:start w:val="1"/>
      <w:numFmt w:val="bullet"/>
      <w:lvlText w:val=""/>
      <w:lvlJc w:val="left"/>
      <w:pPr>
        <w:tabs>
          <w:tab w:val="left" w:pos="1320"/>
        </w:tabs>
        <w:ind w:left="1320" w:hanging="420"/>
      </w:pPr>
      <w:rPr>
        <w:rFonts w:hint="default" w:ascii="Wingdings" w:hAnsi="Wingdings"/>
      </w:rPr>
    </w:lvl>
    <w:lvl w:ilvl="2" w:tentative="0">
      <w:start w:val="1"/>
      <w:numFmt w:val="bullet"/>
      <w:lvlText w:val=""/>
      <w:lvlJc w:val="left"/>
      <w:pPr>
        <w:tabs>
          <w:tab w:val="left" w:pos="1740"/>
        </w:tabs>
        <w:ind w:left="1740" w:hanging="420"/>
      </w:pPr>
      <w:rPr>
        <w:rFonts w:hint="default" w:ascii="Wingdings" w:hAnsi="Wingdings"/>
      </w:rPr>
    </w:lvl>
    <w:lvl w:ilvl="3" w:tentative="0">
      <w:start w:val="1"/>
      <w:numFmt w:val="bullet"/>
      <w:lvlText w:val=""/>
      <w:lvlJc w:val="left"/>
      <w:pPr>
        <w:tabs>
          <w:tab w:val="left" w:pos="2160"/>
        </w:tabs>
        <w:ind w:left="2160" w:hanging="420"/>
      </w:pPr>
      <w:rPr>
        <w:rFonts w:hint="default" w:ascii="Wingdings" w:hAnsi="Wingdings"/>
      </w:rPr>
    </w:lvl>
    <w:lvl w:ilvl="4" w:tentative="0">
      <w:start w:val="1"/>
      <w:numFmt w:val="bullet"/>
      <w:lvlText w:val=""/>
      <w:lvlJc w:val="left"/>
      <w:pPr>
        <w:tabs>
          <w:tab w:val="left" w:pos="2580"/>
        </w:tabs>
        <w:ind w:left="2580" w:hanging="420"/>
      </w:pPr>
      <w:rPr>
        <w:rFonts w:hint="default" w:ascii="Wingdings" w:hAnsi="Wingdings"/>
      </w:rPr>
    </w:lvl>
    <w:lvl w:ilvl="5" w:tentative="0">
      <w:start w:val="1"/>
      <w:numFmt w:val="bullet"/>
      <w:lvlText w:val=""/>
      <w:lvlJc w:val="left"/>
      <w:pPr>
        <w:tabs>
          <w:tab w:val="left" w:pos="3000"/>
        </w:tabs>
        <w:ind w:left="3000" w:hanging="420"/>
      </w:pPr>
      <w:rPr>
        <w:rFonts w:hint="default" w:ascii="Wingdings" w:hAnsi="Wingdings"/>
      </w:rPr>
    </w:lvl>
    <w:lvl w:ilvl="6" w:tentative="0">
      <w:start w:val="1"/>
      <w:numFmt w:val="bullet"/>
      <w:lvlText w:val=""/>
      <w:lvlJc w:val="left"/>
      <w:pPr>
        <w:tabs>
          <w:tab w:val="left" w:pos="3420"/>
        </w:tabs>
        <w:ind w:left="3420" w:hanging="420"/>
      </w:pPr>
      <w:rPr>
        <w:rFonts w:hint="default" w:ascii="Wingdings" w:hAnsi="Wingdings"/>
      </w:rPr>
    </w:lvl>
    <w:lvl w:ilvl="7" w:tentative="0">
      <w:start w:val="1"/>
      <w:numFmt w:val="bullet"/>
      <w:lvlText w:val=""/>
      <w:lvlJc w:val="left"/>
      <w:pPr>
        <w:tabs>
          <w:tab w:val="left" w:pos="3840"/>
        </w:tabs>
        <w:ind w:left="3840" w:hanging="420"/>
      </w:pPr>
      <w:rPr>
        <w:rFonts w:hint="default" w:ascii="Wingdings" w:hAnsi="Wingdings"/>
      </w:rPr>
    </w:lvl>
    <w:lvl w:ilvl="8" w:tentative="0">
      <w:start w:val="1"/>
      <w:numFmt w:val="bullet"/>
      <w:lvlText w:val=""/>
      <w:lvlJc w:val="left"/>
      <w:pPr>
        <w:tabs>
          <w:tab w:val="left" w:pos="4260"/>
        </w:tabs>
        <w:ind w:left="4260" w:hanging="420"/>
      </w:pPr>
      <w:rPr>
        <w:rFonts w:hint="default" w:ascii="Wingdings" w:hAnsi="Wingdings"/>
      </w:rPr>
    </w:lvl>
  </w:abstractNum>
  <w:abstractNum w:abstractNumId="7">
    <w:nsid w:val="054F373A"/>
    <w:multiLevelType w:val="singleLevel"/>
    <w:tmpl w:val="054F373A"/>
    <w:lvl w:ilvl="0" w:tentative="0">
      <w:start w:val="1"/>
      <w:numFmt w:val="chineseCounting"/>
      <w:suff w:val="nothing"/>
      <w:lvlText w:val="（%1）"/>
      <w:lvlJc w:val="left"/>
      <w:pPr>
        <w:ind w:left="0" w:firstLine="420"/>
      </w:pPr>
      <w:rPr>
        <w:rFonts w:hint="eastAsia"/>
      </w:rPr>
    </w:lvl>
  </w:abstractNum>
  <w:abstractNum w:abstractNumId="8">
    <w:nsid w:val="105D9AF1"/>
    <w:multiLevelType w:val="singleLevel"/>
    <w:tmpl w:val="105D9AF1"/>
    <w:lvl w:ilvl="0" w:tentative="0">
      <w:start w:val="1"/>
      <w:numFmt w:val="decimalEnclosedCircleChinese"/>
      <w:suff w:val="nothing"/>
      <w:lvlText w:val="%1　"/>
      <w:lvlJc w:val="left"/>
      <w:pPr>
        <w:ind w:left="0" w:firstLine="400"/>
      </w:pPr>
      <w:rPr>
        <w:rFonts w:hint="eastAsia"/>
      </w:rPr>
    </w:lvl>
  </w:abstractNum>
  <w:abstractNum w:abstractNumId="9">
    <w:nsid w:val="1CA9C606"/>
    <w:multiLevelType w:val="multilevel"/>
    <w:tmpl w:val="1CA9C606"/>
    <w:lvl w:ilvl="0" w:tentative="0">
      <w:start w:val="1"/>
      <w:numFmt w:val="bullet"/>
      <w:lvlText w:val=""/>
      <w:lvlJc w:val="left"/>
      <w:pPr>
        <w:tabs>
          <w:tab w:val="left" w:pos="1160"/>
        </w:tabs>
        <w:ind w:left="741" w:hanging="420"/>
      </w:pPr>
      <w:rPr>
        <w:rFonts w:hint="default" w:ascii="Wingdings" w:hAnsi="Wingdings" w:cs="Wingdings"/>
      </w:rPr>
    </w:lvl>
    <w:lvl w:ilvl="1" w:tentative="0">
      <w:start w:val="1"/>
      <w:numFmt w:val="decimal"/>
      <w:lvlText w:val="%2、"/>
      <w:lvlJc w:val="left"/>
      <w:pPr>
        <w:tabs>
          <w:tab w:val="left" w:pos="1520"/>
        </w:tabs>
        <w:ind w:left="1101" w:hanging="360"/>
      </w:pPr>
    </w:lvl>
    <w:lvl w:ilvl="2" w:tentative="0">
      <w:start w:val="1"/>
      <w:numFmt w:val="lowerRoman"/>
      <w:lvlText w:val="%3."/>
      <w:lvlJc w:val="right"/>
      <w:pPr>
        <w:tabs>
          <w:tab w:val="left" w:pos="2000"/>
        </w:tabs>
        <w:ind w:left="1581" w:hanging="420"/>
      </w:pPr>
    </w:lvl>
    <w:lvl w:ilvl="3" w:tentative="0">
      <w:start w:val="1"/>
      <w:numFmt w:val="decimal"/>
      <w:lvlText w:val="%4."/>
      <w:lvlJc w:val="left"/>
      <w:pPr>
        <w:tabs>
          <w:tab w:val="left" w:pos="2420"/>
        </w:tabs>
        <w:ind w:left="2001" w:hanging="420"/>
      </w:pPr>
    </w:lvl>
    <w:lvl w:ilvl="4" w:tentative="0">
      <w:start w:val="1"/>
      <w:numFmt w:val="lowerLetter"/>
      <w:lvlText w:val="%5)"/>
      <w:lvlJc w:val="left"/>
      <w:pPr>
        <w:tabs>
          <w:tab w:val="left" w:pos="2840"/>
        </w:tabs>
        <w:ind w:left="2421" w:hanging="420"/>
      </w:pPr>
    </w:lvl>
    <w:lvl w:ilvl="5" w:tentative="0">
      <w:start w:val="1"/>
      <w:numFmt w:val="lowerRoman"/>
      <w:lvlText w:val="%6."/>
      <w:lvlJc w:val="right"/>
      <w:pPr>
        <w:tabs>
          <w:tab w:val="left" w:pos="3260"/>
        </w:tabs>
        <w:ind w:left="2841" w:hanging="420"/>
      </w:pPr>
    </w:lvl>
    <w:lvl w:ilvl="6" w:tentative="0">
      <w:start w:val="1"/>
      <w:numFmt w:val="decimal"/>
      <w:lvlText w:val="%7."/>
      <w:lvlJc w:val="left"/>
      <w:pPr>
        <w:tabs>
          <w:tab w:val="left" w:pos="3680"/>
        </w:tabs>
        <w:ind w:left="3261" w:hanging="420"/>
      </w:pPr>
    </w:lvl>
    <w:lvl w:ilvl="7" w:tentative="0">
      <w:start w:val="1"/>
      <w:numFmt w:val="lowerLetter"/>
      <w:lvlText w:val="%8)"/>
      <w:lvlJc w:val="left"/>
      <w:pPr>
        <w:tabs>
          <w:tab w:val="left" w:pos="4100"/>
        </w:tabs>
        <w:ind w:left="3681" w:hanging="420"/>
      </w:pPr>
    </w:lvl>
    <w:lvl w:ilvl="8" w:tentative="0">
      <w:start w:val="1"/>
      <w:numFmt w:val="lowerRoman"/>
      <w:lvlText w:val="%9."/>
      <w:lvlJc w:val="right"/>
      <w:pPr>
        <w:tabs>
          <w:tab w:val="left" w:pos="4520"/>
        </w:tabs>
        <w:ind w:left="4101" w:hanging="420"/>
      </w:pPr>
    </w:lvl>
  </w:abstractNum>
  <w:abstractNum w:abstractNumId="10">
    <w:nsid w:val="1CCB0AE8"/>
    <w:multiLevelType w:val="singleLevel"/>
    <w:tmpl w:val="1CCB0AE8"/>
    <w:lvl w:ilvl="0" w:tentative="0">
      <w:start w:val="1"/>
      <w:numFmt w:val="decimalEnclosedCircleChinese"/>
      <w:suff w:val="nothing"/>
      <w:lvlText w:val="%1　"/>
      <w:lvlJc w:val="left"/>
      <w:pPr>
        <w:ind w:left="0" w:firstLine="400"/>
      </w:pPr>
      <w:rPr>
        <w:rFonts w:hint="eastAsia"/>
      </w:rPr>
    </w:lvl>
  </w:abstractNum>
  <w:abstractNum w:abstractNumId="11">
    <w:nsid w:val="4EEF9133"/>
    <w:multiLevelType w:val="singleLevel"/>
    <w:tmpl w:val="4EEF9133"/>
    <w:lvl w:ilvl="0" w:tentative="0">
      <w:start w:val="1"/>
      <w:numFmt w:val="decimalEnclosedCircleChinese"/>
      <w:suff w:val="nothing"/>
      <w:lvlText w:val="%1　"/>
      <w:lvlJc w:val="left"/>
      <w:pPr>
        <w:ind w:left="0" w:firstLine="400"/>
      </w:pPr>
      <w:rPr>
        <w:rFonts w:hint="eastAsia"/>
      </w:rPr>
    </w:lvl>
  </w:abstractNum>
  <w:abstractNum w:abstractNumId="12">
    <w:nsid w:val="6382E7A7"/>
    <w:multiLevelType w:val="multilevel"/>
    <w:tmpl w:val="6382E7A7"/>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442"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num w:numId="1">
    <w:abstractNumId w:val="12"/>
  </w:num>
  <w:num w:numId="2">
    <w:abstractNumId w:val="5"/>
  </w:num>
  <w:num w:numId="3">
    <w:abstractNumId w:val="7"/>
  </w:num>
  <w:num w:numId="4">
    <w:abstractNumId w:val="9"/>
  </w:num>
  <w:num w:numId="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6"/>
  </w:num>
  <w:num w:numId="9">
    <w:abstractNumId w:val="11"/>
  </w:num>
  <w:num w:numId="10">
    <w:abstractNumId w:val="2"/>
  </w:num>
  <w:num w:numId="11">
    <w:abstractNumId w:val="10"/>
  </w:num>
  <w:num w:numId="12">
    <w:abstractNumId w:val="4"/>
  </w:num>
  <w:num w:numId="13">
    <w:abstractNumId w:val="8"/>
  </w:num>
  <w:num w:numId="14">
    <w:abstractNumId w:val="1"/>
  </w:num>
  <w:num w:numId="15">
    <w:abstractNumId w:val="0"/>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DYxMGJhNDRmYWI3YTAxNjQyMTZhOWFkOTIxMDI4NTMifQ=="/>
  </w:docVars>
  <w:rsids>
    <w:rsidRoot w:val="008C1F12"/>
    <w:rsid w:val="00047DE2"/>
    <w:rsid w:val="00067522"/>
    <w:rsid w:val="00080B57"/>
    <w:rsid w:val="000D6982"/>
    <w:rsid w:val="000F6C06"/>
    <w:rsid w:val="00117609"/>
    <w:rsid w:val="001B4903"/>
    <w:rsid w:val="001B7BEE"/>
    <w:rsid w:val="00226BE0"/>
    <w:rsid w:val="00246B69"/>
    <w:rsid w:val="0027099C"/>
    <w:rsid w:val="002A23C9"/>
    <w:rsid w:val="002E4284"/>
    <w:rsid w:val="003514CC"/>
    <w:rsid w:val="00394A51"/>
    <w:rsid w:val="003A1251"/>
    <w:rsid w:val="003A7644"/>
    <w:rsid w:val="003C5287"/>
    <w:rsid w:val="003F171C"/>
    <w:rsid w:val="00413180"/>
    <w:rsid w:val="004220D5"/>
    <w:rsid w:val="00443EBA"/>
    <w:rsid w:val="00473526"/>
    <w:rsid w:val="004E6B23"/>
    <w:rsid w:val="004F26FE"/>
    <w:rsid w:val="004F7229"/>
    <w:rsid w:val="0056538C"/>
    <w:rsid w:val="0059131D"/>
    <w:rsid w:val="005A196F"/>
    <w:rsid w:val="005A739A"/>
    <w:rsid w:val="005C110B"/>
    <w:rsid w:val="005D30F4"/>
    <w:rsid w:val="00621A91"/>
    <w:rsid w:val="00647912"/>
    <w:rsid w:val="006552E1"/>
    <w:rsid w:val="00663CD0"/>
    <w:rsid w:val="00670E8D"/>
    <w:rsid w:val="00677829"/>
    <w:rsid w:val="006E5A22"/>
    <w:rsid w:val="00716820"/>
    <w:rsid w:val="007244C9"/>
    <w:rsid w:val="0075084A"/>
    <w:rsid w:val="007B6859"/>
    <w:rsid w:val="007C12FF"/>
    <w:rsid w:val="0084050F"/>
    <w:rsid w:val="008664C3"/>
    <w:rsid w:val="008B2E54"/>
    <w:rsid w:val="008C1F12"/>
    <w:rsid w:val="008E71CC"/>
    <w:rsid w:val="00903AA7"/>
    <w:rsid w:val="00926E0F"/>
    <w:rsid w:val="00962713"/>
    <w:rsid w:val="009B0E3E"/>
    <w:rsid w:val="009B1204"/>
    <w:rsid w:val="009E43A1"/>
    <w:rsid w:val="009E4D1C"/>
    <w:rsid w:val="009E782A"/>
    <w:rsid w:val="00A9070F"/>
    <w:rsid w:val="00AA2F97"/>
    <w:rsid w:val="00AC02C9"/>
    <w:rsid w:val="00AD08A3"/>
    <w:rsid w:val="00AE525E"/>
    <w:rsid w:val="00B0255C"/>
    <w:rsid w:val="00B027C0"/>
    <w:rsid w:val="00B12434"/>
    <w:rsid w:val="00B207FE"/>
    <w:rsid w:val="00B36470"/>
    <w:rsid w:val="00B5024A"/>
    <w:rsid w:val="00B57E45"/>
    <w:rsid w:val="00B65D1F"/>
    <w:rsid w:val="00B74E07"/>
    <w:rsid w:val="00B86640"/>
    <w:rsid w:val="00BC478A"/>
    <w:rsid w:val="00BC47C6"/>
    <w:rsid w:val="00C95F32"/>
    <w:rsid w:val="00CB08BF"/>
    <w:rsid w:val="00CB1692"/>
    <w:rsid w:val="00CE6A07"/>
    <w:rsid w:val="00D018E7"/>
    <w:rsid w:val="00D56D77"/>
    <w:rsid w:val="00D573C9"/>
    <w:rsid w:val="00D74A67"/>
    <w:rsid w:val="00DA482B"/>
    <w:rsid w:val="00DB297F"/>
    <w:rsid w:val="00DC7915"/>
    <w:rsid w:val="00DD7AC8"/>
    <w:rsid w:val="00DF3F48"/>
    <w:rsid w:val="00E252F5"/>
    <w:rsid w:val="00E306D7"/>
    <w:rsid w:val="00EB5B8C"/>
    <w:rsid w:val="00EC2D2C"/>
    <w:rsid w:val="00EC3450"/>
    <w:rsid w:val="00F028A6"/>
    <w:rsid w:val="00F04FE1"/>
    <w:rsid w:val="00F06BE9"/>
    <w:rsid w:val="00F1447A"/>
    <w:rsid w:val="00F26826"/>
    <w:rsid w:val="00F4236C"/>
    <w:rsid w:val="00F43B5C"/>
    <w:rsid w:val="00FB2DA2"/>
    <w:rsid w:val="00FD4B0C"/>
    <w:rsid w:val="00FF3C97"/>
    <w:rsid w:val="0147153B"/>
    <w:rsid w:val="016F45ED"/>
    <w:rsid w:val="0194574B"/>
    <w:rsid w:val="02A227A1"/>
    <w:rsid w:val="02DC52DA"/>
    <w:rsid w:val="03D531E6"/>
    <w:rsid w:val="05233D3C"/>
    <w:rsid w:val="06577B4F"/>
    <w:rsid w:val="07105B30"/>
    <w:rsid w:val="0826591D"/>
    <w:rsid w:val="092B3457"/>
    <w:rsid w:val="09787619"/>
    <w:rsid w:val="0A2E4B1D"/>
    <w:rsid w:val="0CC314BE"/>
    <w:rsid w:val="139F20ED"/>
    <w:rsid w:val="1B223432"/>
    <w:rsid w:val="202C7C81"/>
    <w:rsid w:val="20416212"/>
    <w:rsid w:val="22155959"/>
    <w:rsid w:val="2349207F"/>
    <w:rsid w:val="28401338"/>
    <w:rsid w:val="295B798F"/>
    <w:rsid w:val="2E413632"/>
    <w:rsid w:val="2E860788"/>
    <w:rsid w:val="2E8A19A4"/>
    <w:rsid w:val="303F76FD"/>
    <w:rsid w:val="34B43A40"/>
    <w:rsid w:val="34DA7FB5"/>
    <w:rsid w:val="35202EA6"/>
    <w:rsid w:val="39ED1F78"/>
    <w:rsid w:val="3BE57B92"/>
    <w:rsid w:val="3C6C292A"/>
    <w:rsid w:val="3D3C2AA2"/>
    <w:rsid w:val="3F9176A1"/>
    <w:rsid w:val="403B3303"/>
    <w:rsid w:val="40CB04F0"/>
    <w:rsid w:val="42817701"/>
    <w:rsid w:val="42B71775"/>
    <w:rsid w:val="442273B7"/>
    <w:rsid w:val="49F275D1"/>
    <w:rsid w:val="4AD656E7"/>
    <w:rsid w:val="4DFC7B4E"/>
    <w:rsid w:val="503C4367"/>
    <w:rsid w:val="522C2181"/>
    <w:rsid w:val="5258429B"/>
    <w:rsid w:val="536C1D08"/>
    <w:rsid w:val="539B02BB"/>
    <w:rsid w:val="56813AC3"/>
    <w:rsid w:val="56E10A63"/>
    <w:rsid w:val="56E35328"/>
    <w:rsid w:val="572114D8"/>
    <w:rsid w:val="58901DFC"/>
    <w:rsid w:val="594A2CD4"/>
    <w:rsid w:val="5A6133C0"/>
    <w:rsid w:val="5C427AAA"/>
    <w:rsid w:val="5DF97801"/>
    <w:rsid w:val="5EFA40F3"/>
    <w:rsid w:val="609D5027"/>
    <w:rsid w:val="60F34757"/>
    <w:rsid w:val="6142078F"/>
    <w:rsid w:val="64AC7076"/>
    <w:rsid w:val="6531292E"/>
    <w:rsid w:val="69146C72"/>
    <w:rsid w:val="6AF9205B"/>
    <w:rsid w:val="6CBA560E"/>
    <w:rsid w:val="6D0E5786"/>
    <w:rsid w:val="6E2D45F4"/>
    <w:rsid w:val="70057314"/>
    <w:rsid w:val="75E47150"/>
    <w:rsid w:val="76AF72F6"/>
    <w:rsid w:val="77224199"/>
    <w:rsid w:val="78F45C2F"/>
    <w:rsid w:val="7B332F87"/>
    <w:rsid w:val="7B763560"/>
    <w:rsid w:val="7C3D29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semiHidden="0" w:name="toc 1"/>
    <w:lsdException w:qFormat="1" w:uiPriority="39" w:semiHidden="0" w:name="toc 2"/>
    <w:lsdException w:qFormat="1"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qFormat="1"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880" w:firstLineChars="200"/>
      <w:jc w:val="both"/>
    </w:pPr>
    <w:rPr>
      <w:rFonts w:ascii="Calibri" w:hAnsi="Calibri" w:eastAsia="宋体" w:cs="Times New Roman"/>
      <w:kern w:val="2"/>
      <w:sz w:val="28"/>
      <w:szCs w:val="24"/>
      <w:lang w:val="en-US" w:eastAsia="zh-CN" w:bidi="ar-SA"/>
    </w:rPr>
  </w:style>
  <w:style w:type="paragraph" w:styleId="4">
    <w:name w:val="heading 1"/>
    <w:basedOn w:val="1"/>
    <w:next w:val="1"/>
    <w:qFormat/>
    <w:uiPriority w:val="0"/>
    <w:pPr>
      <w:keepNext/>
      <w:keepLines/>
      <w:spacing w:before="100" w:after="100"/>
      <w:ind w:firstLine="0" w:firstLineChars="0"/>
      <w:outlineLvl w:val="0"/>
    </w:pPr>
    <w:rPr>
      <w:b/>
      <w:kern w:val="44"/>
      <w:sz w:val="32"/>
    </w:rPr>
  </w:style>
  <w:style w:type="paragraph" w:styleId="5">
    <w:name w:val="heading 2"/>
    <w:basedOn w:val="1"/>
    <w:next w:val="1"/>
    <w:link w:val="31"/>
    <w:qFormat/>
    <w:uiPriority w:val="0"/>
    <w:pPr>
      <w:keepNext/>
      <w:keepLines/>
      <w:spacing w:before="100" w:after="100"/>
      <w:ind w:firstLine="0" w:firstLineChars="0"/>
      <w:outlineLvl w:val="1"/>
    </w:pPr>
    <w:rPr>
      <w:rFonts w:ascii="Arial" w:hAnsi="Arial"/>
      <w:b/>
      <w:sz w:val="30"/>
    </w:rPr>
  </w:style>
  <w:style w:type="paragraph" w:styleId="6">
    <w:name w:val="heading 3"/>
    <w:basedOn w:val="1"/>
    <w:next w:val="1"/>
    <w:link w:val="32"/>
    <w:qFormat/>
    <w:uiPriority w:val="0"/>
    <w:pPr>
      <w:keepNext/>
      <w:keepLines/>
      <w:ind w:firstLine="0" w:firstLineChars="0"/>
      <w:outlineLvl w:val="2"/>
    </w:pPr>
    <w:rPr>
      <w:b/>
    </w:rPr>
  </w:style>
  <w:style w:type="paragraph" w:styleId="7">
    <w:name w:val="heading 4"/>
    <w:basedOn w:val="1"/>
    <w:next w:val="1"/>
    <w:semiHidden/>
    <w:unhideWhenUsed/>
    <w:qFormat/>
    <w:uiPriority w:val="0"/>
    <w:pPr>
      <w:keepNext/>
      <w:keepLines/>
      <w:spacing w:before="280" w:beforeLines="0" w:beforeAutospacing="0" w:after="290" w:afterLines="0" w:afterAutospacing="0" w:line="372" w:lineRule="auto"/>
      <w:outlineLvl w:val="3"/>
    </w:pPr>
    <w:rPr>
      <w:rFonts w:ascii="Arial" w:hAnsi="Arial" w:eastAsia="黑体"/>
      <w:b/>
      <w:sz w:val="28"/>
    </w:rPr>
  </w:style>
  <w:style w:type="character" w:default="1" w:styleId="19">
    <w:name w:val="Default Paragraph Font"/>
    <w:semiHidden/>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unhideWhenUsed/>
    <w:qFormat/>
    <w:uiPriority w:val="99"/>
    <w:pPr>
      <w:ind w:firstLine="420"/>
    </w:pPr>
  </w:style>
  <w:style w:type="paragraph" w:styleId="3">
    <w:name w:val="Body Text Indent"/>
    <w:basedOn w:val="1"/>
    <w:unhideWhenUsed/>
    <w:qFormat/>
    <w:uiPriority w:val="99"/>
    <w:pPr>
      <w:spacing w:after="120"/>
      <w:ind w:left="420" w:leftChars="200"/>
    </w:pPr>
  </w:style>
  <w:style w:type="paragraph" w:styleId="8">
    <w:name w:val="annotation text"/>
    <w:basedOn w:val="1"/>
    <w:link w:val="24"/>
    <w:qFormat/>
    <w:uiPriority w:val="0"/>
    <w:pPr>
      <w:jc w:val="left"/>
    </w:pPr>
  </w:style>
  <w:style w:type="paragraph" w:styleId="9">
    <w:name w:val="toc 3"/>
    <w:basedOn w:val="1"/>
    <w:next w:val="1"/>
    <w:autoRedefine/>
    <w:unhideWhenUsed/>
    <w:qFormat/>
    <w:uiPriority w:val="39"/>
    <w:pPr>
      <w:widowControl/>
      <w:spacing w:after="100" w:line="259" w:lineRule="auto"/>
      <w:ind w:left="440" w:firstLine="0" w:firstLineChars="0"/>
      <w:jc w:val="left"/>
    </w:pPr>
    <w:rPr>
      <w:rFonts w:asciiTheme="minorHAnsi" w:hAnsiTheme="minorHAnsi" w:eastAsiaTheme="minorEastAsia"/>
      <w:kern w:val="0"/>
      <w:sz w:val="22"/>
      <w:szCs w:val="22"/>
    </w:rPr>
  </w:style>
  <w:style w:type="paragraph" w:styleId="10">
    <w:name w:val="Plain Text"/>
    <w:basedOn w:val="1"/>
    <w:qFormat/>
    <w:uiPriority w:val="0"/>
    <w:pPr>
      <w:keepNext w:val="0"/>
      <w:keepLines w:val="0"/>
      <w:widowControl w:val="0"/>
      <w:suppressLineNumbers w:val="0"/>
      <w:spacing w:before="0" w:beforeAutospacing="0" w:after="0" w:afterAutospacing="0"/>
      <w:ind w:left="0" w:right="0"/>
      <w:jc w:val="both"/>
    </w:pPr>
    <w:rPr>
      <w:rFonts w:hint="eastAsia" w:ascii="宋体" w:hAnsi="Courier New" w:eastAsia="宋体" w:cs="Times New Roman"/>
      <w:kern w:val="2"/>
      <w:sz w:val="21"/>
      <w:szCs w:val="22"/>
      <w:lang w:val="en-US" w:eastAsia="zh-CN" w:bidi="ar"/>
    </w:rPr>
  </w:style>
  <w:style w:type="paragraph" w:styleId="11">
    <w:name w:val="Balloon Text"/>
    <w:basedOn w:val="1"/>
    <w:link w:val="25"/>
    <w:qFormat/>
    <w:uiPriority w:val="0"/>
    <w:pPr>
      <w:spacing w:line="240" w:lineRule="auto"/>
    </w:pPr>
    <w:rPr>
      <w:sz w:val="18"/>
      <w:szCs w:val="18"/>
    </w:rPr>
  </w:style>
  <w:style w:type="paragraph" w:styleId="12">
    <w:name w:val="footer"/>
    <w:basedOn w:val="1"/>
    <w:qFormat/>
    <w:uiPriority w:val="0"/>
    <w:pPr>
      <w:tabs>
        <w:tab w:val="center" w:pos="4153"/>
        <w:tab w:val="right" w:pos="8306"/>
      </w:tabs>
      <w:snapToGrid w:val="0"/>
      <w:spacing w:line="240" w:lineRule="auto"/>
      <w:jc w:val="left"/>
    </w:pPr>
    <w:rPr>
      <w:sz w:val="18"/>
      <w:szCs w:val="18"/>
    </w:rPr>
  </w:style>
  <w:style w:type="paragraph" w:styleId="13">
    <w:name w:val="header"/>
    <w:basedOn w:val="1"/>
    <w:qFormat/>
    <w:uiPriority w:val="0"/>
    <w:pPr>
      <w:pBdr>
        <w:bottom w:val="single" w:color="auto" w:sz="6" w:space="1"/>
      </w:pBdr>
      <w:tabs>
        <w:tab w:val="center" w:pos="4153"/>
        <w:tab w:val="right" w:pos="8306"/>
      </w:tabs>
      <w:snapToGrid w:val="0"/>
      <w:spacing w:line="240" w:lineRule="auto"/>
      <w:jc w:val="center"/>
    </w:pPr>
    <w:rPr>
      <w:sz w:val="18"/>
      <w:szCs w:val="18"/>
    </w:rPr>
  </w:style>
  <w:style w:type="paragraph" w:styleId="14">
    <w:name w:val="toc 1"/>
    <w:basedOn w:val="1"/>
    <w:next w:val="1"/>
    <w:autoRedefine/>
    <w:unhideWhenUsed/>
    <w:qFormat/>
    <w:uiPriority w:val="39"/>
    <w:pPr>
      <w:widowControl/>
      <w:spacing w:after="100" w:line="259" w:lineRule="auto"/>
      <w:ind w:firstLine="0" w:firstLineChars="0"/>
      <w:jc w:val="left"/>
    </w:pPr>
    <w:rPr>
      <w:rFonts w:asciiTheme="minorHAnsi" w:hAnsiTheme="minorHAnsi" w:eastAsiaTheme="minorEastAsia"/>
      <w:kern w:val="0"/>
      <w:sz w:val="22"/>
      <w:szCs w:val="22"/>
    </w:rPr>
  </w:style>
  <w:style w:type="paragraph" w:styleId="15">
    <w:name w:val="toc 2"/>
    <w:basedOn w:val="1"/>
    <w:next w:val="1"/>
    <w:autoRedefine/>
    <w:unhideWhenUsed/>
    <w:qFormat/>
    <w:uiPriority w:val="39"/>
    <w:pPr>
      <w:widowControl/>
      <w:spacing w:after="100" w:line="259" w:lineRule="auto"/>
      <w:ind w:left="220" w:firstLine="0" w:firstLineChars="0"/>
      <w:jc w:val="left"/>
    </w:pPr>
    <w:rPr>
      <w:rFonts w:asciiTheme="minorHAnsi" w:hAnsiTheme="minorHAnsi" w:eastAsiaTheme="minorEastAsia"/>
      <w:kern w:val="0"/>
      <w:sz w:val="22"/>
      <w:szCs w:val="22"/>
    </w:rPr>
  </w:style>
  <w:style w:type="paragraph" w:styleId="16">
    <w:name w:val="Normal (Web)"/>
    <w:basedOn w:val="1"/>
    <w:qFormat/>
    <w:uiPriority w:val="0"/>
    <w:pPr>
      <w:spacing w:before="100" w:beforeAutospacing="1" w:after="100" w:afterAutospacing="1"/>
      <w:jc w:val="left"/>
    </w:pPr>
    <w:rPr>
      <w:kern w:val="0"/>
      <w:sz w:val="24"/>
    </w:rPr>
  </w:style>
  <w:style w:type="paragraph" w:styleId="17">
    <w:name w:val="annotation subject"/>
    <w:basedOn w:val="8"/>
    <w:next w:val="8"/>
    <w:link w:val="28"/>
    <w:qFormat/>
    <w:uiPriority w:val="0"/>
    <w:rPr>
      <w:b/>
      <w:bCs/>
    </w:rPr>
  </w:style>
  <w:style w:type="character" w:styleId="20">
    <w:name w:val="Strong"/>
    <w:qFormat/>
    <w:uiPriority w:val="0"/>
    <w:rPr>
      <w:b/>
    </w:rPr>
  </w:style>
  <w:style w:type="character" w:styleId="21">
    <w:name w:val="Hyperlink"/>
    <w:basedOn w:val="19"/>
    <w:unhideWhenUsed/>
    <w:qFormat/>
    <w:uiPriority w:val="99"/>
    <w:rPr>
      <w:color w:val="0563C1" w:themeColor="hyperlink"/>
      <w:u w:val="single"/>
      <w14:textFill>
        <w14:solidFill>
          <w14:schemeClr w14:val="hlink"/>
        </w14:solidFill>
      </w14:textFill>
    </w:rPr>
  </w:style>
  <w:style w:type="character" w:styleId="22">
    <w:name w:val="annotation reference"/>
    <w:qFormat/>
    <w:uiPriority w:val="0"/>
    <w:rPr>
      <w:sz w:val="21"/>
      <w:szCs w:val="21"/>
    </w:rPr>
  </w:style>
  <w:style w:type="paragraph" w:customStyle="1" w:styleId="23">
    <w:name w:val="正文首行缩进 21"/>
    <w:basedOn w:val="3"/>
    <w:next w:val="1"/>
    <w:unhideWhenUsed/>
    <w:qFormat/>
    <w:uiPriority w:val="99"/>
    <w:pPr>
      <w:ind w:firstLine="420"/>
    </w:pPr>
  </w:style>
  <w:style w:type="character" w:customStyle="1" w:styleId="24">
    <w:name w:val="批注文字 字符"/>
    <w:link w:val="8"/>
    <w:qFormat/>
    <w:uiPriority w:val="0"/>
    <w:rPr>
      <w:rFonts w:ascii="Calibri" w:hAnsi="Calibri"/>
      <w:kern w:val="2"/>
      <w:sz w:val="28"/>
      <w:szCs w:val="24"/>
    </w:rPr>
  </w:style>
  <w:style w:type="character" w:customStyle="1" w:styleId="25">
    <w:name w:val="批注框文本 字符"/>
    <w:link w:val="11"/>
    <w:qFormat/>
    <w:uiPriority w:val="0"/>
    <w:rPr>
      <w:rFonts w:ascii="Calibri" w:hAnsi="Calibri"/>
      <w:kern w:val="2"/>
      <w:sz w:val="18"/>
      <w:szCs w:val="18"/>
    </w:rPr>
  </w:style>
  <w:style w:type="paragraph" w:customStyle="1" w:styleId="26">
    <w:name w:val="目录 11"/>
    <w:basedOn w:val="1"/>
    <w:next w:val="1"/>
    <w:qFormat/>
    <w:uiPriority w:val="0"/>
  </w:style>
  <w:style w:type="paragraph" w:customStyle="1" w:styleId="27">
    <w:name w:val="目录 21"/>
    <w:basedOn w:val="1"/>
    <w:next w:val="1"/>
    <w:qFormat/>
    <w:uiPriority w:val="0"/>
    <w:pPr>
      <w:ind w:left="420" w:leftChars="200"/>
    </w:pPr>
  </w:style>
  <w:style w:type="character" w:customStyle="1" w:styleId="28">
    <w:name w:val="批注主题 字符"/>
    <w:link w:val="17"/>
    <w:qFormat/>
    <w:uiPriority w:val="0"/>
    <w:rPr>
      <w:rFonts w:ascii="Calibri" w:hAnsi="Calibri"/>
      <w:b/>
      <w:bCs/>
      <w:kern w:val="2"/>
      <w:sz w:val="28"/>
      <w:szCs w:val="24"/>
    </w:rPr>
  </w:style>
  <w:style w:type="paragraph" w:customStyle="1" w:styleId="29">
    <w:name w:val="WPSOffice手动目录 1"/>
    <w:qFormat/>
    <w:uiPriority w:val="0"/>
    <w:rPr>
      <w:rFonts w:ascii="Times New Roman" w:hAnsi="Times New Roman" w:eastAsia="宋体" w:cs="Times New Roman"/>
      <w:lang w:val="en-US" w:eastAsia="zh-CN" w:bidi="ar-SA"/>
    </w:rPr>
  </w:style>
  <w:style w:type="paragraph" w:customStyle="1" w:styleId="30">
    <w:name w:val="WPSOffice手动目录 2"/>
    <w:qFormat/>
    <w:uiPriority w:val="0"/>
    <w:pPr>
      <w:ind w:left="200" w:leftChars="200"/>
    </w:pPr>
    <w:rPr>
      <w:rFonts w:ascii="Times New Roman" w:hAnsi="Times New Roman" w:eastAsia="宋体" w:cs="Times New Roman"/>
      <w:lang w:val="en-US" w:eastAsia="zh-CN" w:bidi="ar-SA"/>
    </w:rPr>
  </w:style>
  <w:style w:type="character" w:customStyle="1" w:styleId="31">
    <w:name w:val="标题 2 字符"/>
    <w:link w:val="5"/>
    <w:qFormat/>
    <w:uiPriority w:val="0"/>
    <w:rPr>
      <w:rFonts w:ascii="Arial" w:hAnsi="Arial"/>
      <w:b/>
      <w:kern w:val="2"/>
      <w:sz w:val="30"/>
      <w:szCs w:val="24"/>
    </w:rPr>
  </w:style>
  <w:style w:type="character" w:customStyle="1" w:styleId="32">
    <w:name w:val="标题 3 字符"/>
    <w:link w:val="6"/>
    <w:qFormat/>
    <w:uiPriority w:val="0"/>
    <w:rPr>
      <w:rFonts w:ascii="Calibri" w:hAnsi="Calibri"/>
      <w:b/>
      <w:kern w:val="2"/>
      <w:sz w:val="28"/>
      <w:szCs w:val="24"/>
    </w:rPr>
  </w:style>
  <w:style w:type="paragraph" w:customStyle="1" w:styleId="33">
    <w:name w:val="_Style 25"/>
    <w:basedOn w:val="3"/>
    <w:next w:val="1"/>
    <w:unhideWhenUsed/>
    <w:qFormat/>
    <w:uiPriority w:val="99"/>
    <w:pPr>
      <w:ind w:firstLine="420"/>
    </w:pPr>
  </w:style>
  <w:style w:type="paragraph" w:styleId="34">
    <w:name w:val="List Paragraph"/>
    <w:basedOn w:val="1"/>
    <w:qFormat/>
    <w:uiPriority w:val="99"/>
    <w:pPr>
      <w:ind w:firstLine="420"/>
    </w:pPr>
  </w:style>
  <w:style w:type="paragraph" w:customStyle="1" w:styleId="35">
    <w:name w:val="TOC 标题1"/>
    <w:basedOn w:val="4"/>
    <w:next w:val="1"/>
    <w:unhideWhenUsed/>
    <w:qFormat/>
    <w:uiPriority w:val="39"/>
    <w:pPr>
      <w:widowControl/>
      <w:tabs>
        <w:tab w:val="left" w:pos="0"/>
      </w:tabs>
      <w:spacing w:before="240" w:after="0" w:line="259" w:lineRule="auto"/>
      <w:jc w:val="left"/>
      <w:outlineLvl w:val="9"/>
    </w:pPr>
    <w:rPr>
      <w:rFonts w:asciiTheme="majorHAnsi" w:hAnsiTheme="majorHAnsi" w:eastAsiaTheme="majorEastAsia" w:cstheme="majorBidi"/>
      <w:b w:val="0"/>
      <w:color w:val="2F5597" w:themeColor="accent1" w:themeShade="BF"/>
      <w:kern w:val="0"/>
      <w:szCs w:val="32"/>
    </w:rPr>
  </w:style>
  <w:style w:type="paragraph" w:customStyle="1" w:styleId="36">
    <w:name w:val="_Style 32"/>
    <w:basedOn w:val="3"/>
    <w:next w:val="1"/>
    <w:unhideWhenUsed/>
    <w:qFormat/>
    <w:uiPriority w:val="99"/>
    <w:pPr>
      <w:ind w:firstLine="420"/>
    </w:pPr>
  </w:style>
  <w:style w:type="character" w:customStyle="1" w:styleId="37">
    <w:name w:val="标题 3 Char"/>
    <w:qFormat/>
    <w:uiPriority w:val="0"/>
    <w:rPr>
      <w:rFonts w:eastAsia="宋体"/>
      <w:b/>
      <w:sz w:val="28"/>
      <w:szCs w:val="22"/>
    </w:rPr>
  </w:style>
  <w:style w:type="character" w:customStyle="1" w:styleId="38">
    <w:name w:val="标题 2 Char"/>
    <w:qFormat/>
    <w:uiPriority w:val="0"/>
    <w:rPr>
      <w:rFonts w:ascii="Arial" w:hAnsi="Arial"/>
      <w:b/>
      <w:kern w:val="2"/>
      <w:sz w:val="30"/>
      <w:szCs w:val="24"/>
    </w:rPr>
  </w:style>
  <w:style w:type="table" w:customStyle="1" w:styleId="39">
    <w:name w:val="写书表格样式"/>
    <w:basedOn w:val="18"/>
    <w:qFormat/>
    <w:uiPriority w:val="0"/>
    <w:pPr>
      <w:jc w:val="both"/>
    </w:pPr>
    <w:rPr>
      <w:rFonts w:ascii="Times New Roman" w:hAnsi="Times New Roman" w:eastAsia="宋体"/>
      <w:kern w:val="0"/>
      <w:sz w:val="18"/>
      <w:szCs w:val="20"/>
    </w:rPr>
    <w:tblPr>
      <w:jc w:val="center"/>
      <w:tblBorders>
        <w:top w:val="single" w:color="auto" w:sz="12" w:space="0"/>
        <w:bottom w:val="single" w:color="auto" w:sz="12" w:space="0"/>
        <w:insideH w:val="single" w:color="auto" w:sz="4" w:space="0"/>
        <w:insideV w:val="single" w:color="auto" w:sz="4" w:space="0"/>
      </w:tblBorders>
    </w:tblPr>
    <w:trPr>
      <w:jc w:val="center"/>
    </w:trPr>
    <w:tcPr>
      <w:vAlign w:val="center"/>
    </w:tcPr>
  </w:style>
  <w:style w:type="paragraph" w:customStyle="1" w:styleId="40">
    <w:name w:val="WPSOffice手动目录 3"/>
    <w:uiPriority w:val="0"/>
    <w:pPr>
      <w:ind w:leftChars="40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2" Type="http://schemas.openxmlformats.org/officeDocument/2006/relationships/fontTable" Target="fontTable.xml"/><Relationship Id="rId41" Type="http://schemas.openxmlformats.org/officeDocument/2006/relationships/customXml" Target="../customXml/item2.xml"/><Relationship Id="rId40" Type="http://schemas.openxmlformats.org/officeDocument/2006/relationships/numbering" Target="numbering.xml"/><Relationship Id="rId4" Type="http://schemas.openxmlformats.org/officeDocument/2006/relationships/endnotes" Target="endnotes.xml"/><Relationship Id="rId39" Type="http://schemas.openxmlformats.org/officeDocument/2006/relationships/customXml" Target="../customXml/item1.xml"/><Relationship Id="rId38" Type="http://schemas.openxmlformats.org/officeDocument/2006/relationships/image" Target="media/image24.png"/><Relationship Id="rId37" Type="http://schemas.openxmlformats.org/officeDocument/2006/relationships/image" Target="media/image23.png"/><Relationship Id="rId36" Type="http://schemas.openxmlformats.org/officeDocument/2006/relationships/image" Target="media/image22.png"/><Relationship Id="rId35" Type="http://schemas.openxmlformats.org/officeDocument/2006/relationships/image" Target="media/image21.png"/><Relationship Id="rId34" Type="http://schemas.openxmlformats.org/officeDocument/2006/relationships/image" Target="media/image20.png"/><Relationship Id="rId33" Type="http://schemas.openxmlformats.org/officeDocument/2006/relationships/image" Target="media/image19.png"/><Relationship Id="rId32" Type="http://schemas.openxmlformats.org/officeDocument/2006/relationships/image" Target="media/image18.png"/><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footnotes" Target="footnotes.xml"/><Relationship Id="rId29" Type="http://schemas.openxmlformats.org/officeDocument/2006/relationships/image" Target="media/image15.png"/><Relationship Id="rId28" Type="http://schemas.openxmlformats.org/officeDocument/2006/relationships/image" Target="media/image14.png"/><Relationship Id="rId27" Type="http://schemas.openxmlformats.org/officeDocument/2006/relationships/image" Target="media/image13.png"/><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png"/><Relationship Id="rId23" Type="http://schemas.openxmlformats.org/officeDocument/2006/relationships/image" Target="media/image9.png"/><Relationship Id="rId22" Type="http://schemas.openxmlformats.org/officeDocument/2006/relationships/image" Target="media/image8.png"/><Relationship Id="rId21" Type="http://schemas.openxmlformats.org/officeDocument/2006/relationships/image" Target="media/image7.png"/><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1.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theme" Target="theme/theme1.xml"/><Relationship Id="rId13" Type="http://schemas.openxmlformats.org/officeDocument/2006/relationships/footer" Target="footer5.xml"/><Relationship Id="rId12" Type="http://schemas.openxmlformats.org/officeDocument/2006/relationships/header" Target="header4.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7285D08-9BFA-43A9-8ADC-480680BC900E}">
  <ds:schemaRefs/>
</ds:datastoreItem>
</file>

<file path=docProps/app.xml><?xml version="1.0" encoding="utf-8"?>
<Properties xmlns="http://schemas.openxmlformats.org/officeDocument/2006/extended-properties" xmlns:vt="http://schemas.openxmlformats.org/officeDocument/2006/docPropsVTypes">
  <Template>Normal.dotm</Template>
  <Pages>28</Pages>
  <Words>5738</Words>
  <Characters>6041</Characters>
  <Lines>38</Lines>
  <Paragraphs>10</Paragraphs>
  <TotalTime>2</TotalTime>
  <ScaleCrop>false</ScaleCrop>
  <LinksUpToDate>false</LinksUpToDate>
  <CharactersWithSpaces>6153</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2023-12-20T02:58:00Z</dcterms:created>
  <dc:creator>Administrator</dc:creator>
  <cp:lastModifiedBy>王先帅</cp:lastModifiedBy>
  <cp:lastPrinted>2022-08-24T03:53:00Z</cp:lastPrinted>
  <dcterms:modified xsi:type="dcterms:W3CDTF">2025-05-29T10:58:38Z</dcterms:modified>
  <cp:revision>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D2A45EC3F85A48DF9122E5FC06007C68_13</vt:lpwstr>
  </property>
  <property fmtid="{D5CDD505-2E9C-101B-9397-08002B2CF9AE}" pid="4" name="KSOTemplateDocerSaveRecord">
    <vt:lpwstr>eyJoZGlkIjoiNzEwODg2ZjliZGNmOWRiNTM3YTQ5MDE4NzI5Y2VmM2IiLCJ1c2VySWQiOiI0MDM0NDIxMzIifQ==</vt:lpwstr>
  </property>
</Properties>
</file>