
<file path=[Content_Types].xml><?xml version="1.0" encoding="utf-8"?>
<Types xmlns="http://schemas.openxmlformats.org/package/2006/content-types">
  <Default Extension="wmf" ContentType="image/x-wmf"/>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D149D">
      <w:pPr>
        <w:jc w:val="center"/>
        <w:rPr>
          <w:rFonts w:ascii="宋体" w:hAnsi="宋体"/>
          <w:b/>
          <w:sz w:val="72"/>
          <w:szCs w:val="72"/>
        </w:rPr>
      </w:pPr>
    </w:p>
    <w:p w14:paraId="5B49A7D7">
      <w:pPr>
        <w:jc w:val="center"/>
        <w:rPr>
          <w:rFonts w:ascii="宋体" w:hAnsi="宋体"/>
          <w:b/>
          <w:sz w:val="72"/>
          <w:szCs w:val="72"/>
        </w:rPr>
      </w:pPr>
      <w:r>
        <w:rPr>
          <w:rFonts w:hint="eastAsia" w:ascii="宋体" w:hAnsi="宋体"/>
          <w:b/>
          <w:sz w:val="72"/>
          <w:szCs w:val="72"/>
        </w:rPr>
        <w:t>XX学院</w:t>
      </w:r>
    </w:p>
    <w:p w14:paraId="75D3C2A2">
      <w:pPr>
        <w:jc w:val="center"/>
        <w:rPr>
          <w:rFonts w:ascii="宋体" w:hAnsi="宋体"/>
          <w:b/>
          <w:sz w:val="72"/>
          <w:szCs w:val="72"/>
        </w:rPr>
      </w:pPr>
    </w:p>
    <w:p w14:paraId="1E8BDE2F">
      <w:pPr>
        <w:jc w:val="center"/>
        <w:rPr>
          <w:rFonts w:ascii="宋体" w:hAnsi="宋体"/>
          <w:b/>
          <w:sz w:val="72"/>
          <w:szCs w:val="72"/>
        </w:rPr>
      </w:pPr>
      <w:r>
        <w:rPr>
          <w:rFonts w:hint="eastAsia" w:ascii="宋体" w:hAnsi="宋体"/>
          <w:b/>
          <w:sz w:val="72"/>
          <w:szCs w:val="72"/>
        </w:rPr>
        <w:t>专项资金项目申报表</w:t>
      </w:r>
    </w:p>
    <w:p w14:paraId="2F66BA05">
      <w:pPr>
        <w:ind w:firstLine="1446" w:firstLineChars="200"/>
        <w:rPr>
          <w:rFonts w:ascii="楷体_GB2312" w:hAnsi="宋体" w:eastAsia="楷体_GB2312"/>
          <w:b/>
          <w:sz w:val="72"/>
          <w:szCs w:val="72"/>
        </w:rPr>
      </w:pPr>
    </w:p>
    <w:p w14:paraId="08A394D7">
      <w:pPr>
        <w:rPr>
          <w:rFonts w:ascii="宋体" w:hAnsi="宋体"/>
          <w:sz w:val="28"/>
          <w:szCs w:val="28"/>
        </w:rPr>
      </w:pPr>
    </w:p>
    <w:p w14:paraId="102CA800">
      <w:pPr>
        <w:ind w:firstLine="560" w:firstLineChars="200"/>
        <w:rPr>
          <w:rFonts w:ascii="宋体" w:hAnsi="宋体"/>
          <w:sz w:val="28"/>
          <w:szCs w:val="28"/>
        </w:rPr>
      </w:pPr>
    </w:p>
    <w:p w14:paraId="4A9F7438">
      <w:pPr>
        <w:rPr>
          <w:rFonts w:ascii="宋体" w:hAnsi="宋体"/>
          <w:sz w:val="28"/>
          <w:szCs w:val="28"/>
        </w:rPr>
      </w:pPr>
    </w:p>
    <w:p w14:paraId="4FAF34CA">
      <w:pPr>
        <w:rPr>
          <w:rFonts w:ascii="宋体" w:hAnsi="宋体"/>
          <w:sz w:val="28"/>
          <w:szCs w:val="28"/>
        </w:rPr>
      </w:pPr>
    </w:p>
    <w:p w14:paraId="6EDCDFD5">
      <w:pPr>
        <w:rPr>
          <w:rFonts w:ascii="宋体" w:hAnsi="宋体"/>
          <w:sz w:val="28"/>
          <w:szCs w:val="28"/>
        </w:rPr>
      </w:pPr>
    </w:p>
    <w:p w14:paraId="6FC4EBBC">
      <w:pPr>
        <w:ind w:firstLine="1800" w:firstLineChars="600"/>
        <w:jc w:val="center"/>
        <w:rPr>
          <w:rFonts w:ascii="宋体" w:hAnsi="宋体"/>
          <w:sz w:val="30"/>
          <w:szCs w:val="30"/>
          <w:u w:val="single"/>
        </w:rPr>
      </w:pPr>
      <w:r>
        <w:rPr>
          <w:rFonts w:hint="eastAsia" w:ascii="宋体" w:hAnsi="宋体"/>
          <w:sz w:val="30"/>
          <w:szCs w:val="30"/>
        </w:rPr>
        <w:t>项目名称：</w:t>
      </w:r>
      <w:r>
        <w:rPr>
          <w:rFonts w:hint="eastAsia" w:ascii="宋体" w:hAnsi="宋体"/>
          <w:sz w:val="30"/>
          <w:szCs w:val="30"/>
          <w:u w:val="single"/>
        </w:rPr>
        <w:t>数字经济实验室（国际经济学综合决策仿真实验）</w:t>
      </w:r>
    </w:p>
    <w:p w14:paraId="7D1C0D67">
      <w:pPr>
        <w:ind w:firstLine="1800" w:firstLineChars="600"/>
        <w:rPr>
          <w:rFonts w:ascii="宋体" w:hAnsi="宋体" w:cs="宋体"/>
          <w:sz w:val="30"/>
          <w:szCs w:val="30"/>
          <w:u w:val="single"/>
        </w:rPr>
      </w:pPr>
      <w:r>
        <w:rPr>
          <w:rFonts w:hint="eastAsia" w:ascii="宋体" w:hAnsi="宋体"/>
          <w:sz w:val="30"/>
          <w:szCs w:val="30"/>
        </w:rPr>
        <w:t>申报单位</w:t>
      </w:r>
      <w:r>
        <w:rPr>
          <w:rFonts w:hint="eastAsia" w:ascii="宋体" w:hAnsi="宋体" w:cs="宋体"/>
          <w:sz w:val="30"/>
          <w:szCs w:val="30"/>
        </w:rPr>
        <w:t>（公章）：</w:t>
      </w:r>
      <w:r>
        <w:rPr>
          <w:rFonts w:hint="eastAsia" w:ascii="宋体" w:hAnsi="宋体" w:cs="宋体"/>
          <w:sz w:val="30"/>
          <w:szCs w:val="30"/>
          <w:u w:val="single"/>
        </w:rPr>
        <w:t xml:space="preserve">    XX学院            </w:t>
      </w:r>
    </w:p>
    <w:p w14:paraId="1533D851">
      <w:pPr>
        <w:ind w:firstLine="1800" w:firstLineChars="600"/>
        <w:rPr>
          <w:rFonts w:ascii="宋体" w:hAnsi="宋体"/>
          <w:sz w:val="30"/>
          <w:szCs w:val="30"/>
          <w:u w:val="single"/>
        </w:rPr>
      </w:pPr>
      <w:r>
        <w:rPr>
          <w:rFonts w:hint="eastAsia" w:ascii="宋体" w:hAnsi="宋体"/>
          <w:sz w:val="30"/>
          <w:szCs w:val="30"/>
        </w:rPr>
        <w:t>申报日期：</w:t>
      </w:r>
      <w:r>
        <w:rPr>
          <w:rFonts w:hint="eastAsia" w:ascii="宋体" w:hAnsi="宋体" w:cs="宋体"/>
          <w:sz w:val="30"/>
          <w:szCs w:val="30"/>
          <w:u w:val="single"/>
        </w:rPr>
        <w:t xml:space="preserve"> 2022年9月20日            </w:t>
      </w:r>
    </w:p>
    <w:p w14:paraId="64ECB019">
      <w:pPr>
        <w:ind w:firstLine="1800" w:firstLineChars="600"/>
        <w:rPr>
          <w:rFonts w:ascii="宋体" w:hAnsi="宋体"/>
          <w:sz w:val="30"/>
          <w:szCs w:val="30"/>
          <w:u w:val="single"/>
        </w:rPr>
      </w:pPr>
      <w:r>
        <w:rPr>
          <w:rFonts w:hint="eastAsia" w:ascii="宋体" w:hAnsi="宋体"/>
          <w:sz w:val="30"/>
          <w:szCs w:val="30"/>
        </w:rPr>
        <w:t>项目负责人：</w:t>
      </w:r>
      <w:r>
        <w:rPr>
          <w:rFonts w:hint="eastAsia" w:ascii="宋体" w:hAnsi="宋体"/>
          <w:sz w:val="30"/>
          <w:szCs w:val="30"/>
          <w:u w:val="single"/>
        </w:rPr>
        <w:t xml:space="preserve">                </w:t>
      </w:r>
    </w:p>
    <w:p w14:paraId="466139F3">
      <w:pPr>
        <w:ind w:firstLine="560" w:firstLineChars="200"/>
        <w:rPr>
          <w:rFonts w:ascii="宋体" w:hAnsi="宋体"/>
          <w:sz w:val="30"/>
          <w:szCs w:val="30"/>
          <w:u w:val="single"/>
        </w:rPr>
        <w:sectPr>
          <w:headerReference r:id="rId3" w:type="default"/>
          <w:pgSz w:w="11906" w:h="16838"/>
          <w:pgMar w:top="2098" w:right="1474" w:bottom="1985" w:left="1588" w:header="743" w:footer="1021" w:gutter="0"/>
          <w:cols w:space="425" w:num="1"/>
          <w:docGrid w:type="lines" w:linePitch="312" w:charSpace="0"/>
        </w:sectPr>
      </w:pPr>
      <w:r>
        <w:rPr>
          <w:rFonts w:hint="eastAsia" w:ascii="宋体" w:hAnsi="宋体"/>
          <w:sz w:val="28"/>
          <w:szCs w:val="28"/>
        </w:rPr>
        <w:t xml:space="preserve">         </w:t>
      </w:r>
      <w:r>
        <w:rPr>
          <w:rFonts w:hint="eastAsia" w:ascii="宋体" w:hAnsi="宋体"/>
          <w:sz w:val="30"/>
          <w:szCs w:val="30"/>
        </w:rPr>
        <w:t xml:space="preserve">联系电话： </w:t>
      </w:r>
      <w:r>
        <w:rPr>
          <w:rFonts w:hint="eastAsia" w:ascii="宋体" w:hAnsi="宋体"/>
          <w:sz w:val="30"/>
          <w:szCs w:val="30"/>
          <w:u w:val="single"/>
        </w:rPr>
        <w:t xml:space="preserve">                 </w:t>
      </w:r>
    </w:p>
    <w:p w14:paraId="068E182F">
      <w:pPr>
        <w:numPr>
          <w:ilvl w:val="0"/>
          <w:numId w:val="2"/>
        </w:numPr>
        <w:rPr>
          <w:rFonts w:ascii="宋体" w:hAnsi="宋体" w:cs="宋体"/>
          <w:b/>
          <w:bCs/>
          <w:kern w:val="0"/>
          <w:sz w:val="18"/>
          <w:szCs w:val="18"/>
        </w:rPr>
      </w:pPr>
      <w:r>
        <w:rPr>
          <w:rFonts w:hint="eastAsia" w:ascii="宋体" w:hAnsi="宋体" w:cs="宋体"/>
          <w:b/>
          <w:bCs/>
          <w:kern w:val="0"/>
          <w:sz w:val="28"/>
          <w:szCs w:val="28"/>
        </w:rPr>
        <w:t>专项项目立项依据、主要内容及资金测算</w:t>
      </w:r>
    </w:p>
    <w:p w14:paraId="23F00EAC">
      <w:pPr>
        <w:rPr>
          <w:rFonts w:ascii="宋体" w:hAnsi="宋体" w:cs="宋体"/>
          <w:b/>
          <w:bCs/>
          <w:kern w:val="0"/>
          <w:sz w:val="18"/>
          <w:szCs w:val="18"/>
        </w:rPr>
      </w:pPr>
    </w:p>
    <w:tbl>
      <w:tblPr>
        <w:tblStyle w:val="12"/>
        <w:tblW w:w="9031" w:type="dxa"/>
        <w:tblInd w:w="93" w:type="dxa"/>
        <w:tblLayout w:type="fixed"/>
        <w:tblCellMar>
          <w:top w:w="0" w:type="dxa"/>
          <w:left w:w="108" w:type="dxa"/>
          <w:bottom w:w="0" w:type="dxa"/>
          <w:right w:w="108" w:type="dxa"/>
        </w:tblCellMar>
      </w:tblPr>
      <w:tblGrid>
        <w:gridCol w:w="2444"/>
        <w:gridCol w:w="2775"/>
        <w:gridCol w:w="1927"/>
        <w:gridCol w:w="1885"/>
      </w:tblGrid>
      <w:tr w14:paraId="706BEC9B">
        <w:tblPrEx>
          <w:tblCellMar>
            <w:top w:w="0" w:type="dxa"/>
            <w:left w:w="108" w:type="dxa"/>
            <w:bottom w:w="0" w:type="dxa"/>
            <w:right w:w="108" w:type="dxa"/>
          </w:tblCellMar>
        </w:tblPrEx>
        <w:trPr>
          <w:trHeight w:val="454"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6CB0B9">
            <w:pPr>
              <w:widowControl/>
              <w:jc w:val="center"/>
              <w:rPr>
                <w:rFonts w:ascii="宋体" w:hAnsi="宋体" w:eastAsia="宋体" w:cs="宋体"/>
                <w:kern w:val="0"/>
                <w:szCs w:val="21"/>
              </w:rPr>
            </w:pPr>
            <w:r>
              <w:rPr>
                <w:rFonts w:hint="eastAsia" w:ascii="宋体" w:hAnsi="宋体" w:eastAsia="宋体" w:cs="宋体"/>
                <w:kern w:val="0"/>
                <w:szCs w:val="21"/>
              </w:rPr>
              <w:t>项目名称</w:t>
            </w:r>
          </w:p>
          <w:p w14:paraId="391DD823">
            <w:pPr>
              <w:widowControl/>
              <w:jc w:val="center"/>
              <w:rPr>
                <w:rFonts w:ascii="宋体" w:hAnsi="宋体" w:eastAsia="宋体" w:cs="宋体"/>
                <w:kern w:val="0"/>
                <w:szCs w:val="21"/>
              </w:rPr>
            </w:pPr>
            <w:r>
              <w:rPr>
                <w:rFonts w:hint="eastAsia" w:ascii="宋体" w:hAnsi="宋体" w:eastAsia="宋体" w:cs="宋体"/>
                <w:kern w:val="0"/>
                <w:szCs w:val="21"/>
              </w:rPr>
              <w:t>（少于15字）</w:t>
            </w:r>
          </w:p>
        </w:tc>
        <w:tc>
          <w:tcPr>
            <w:tcW w:w="6587" w:type="dxa"/>
            <w:gridSpan w:val="3"/>
            <w:tcBorders>
              <w:top w:val="single" w:color="auto" w:sz="4" w:space="0"/>
              <w:left w:val="nil"/>
              <w:bottom w:val="single" w:color="auto" w:sz="4" w:space="0"/>
              <w:right w:val="single" w:color="000000" w:sz="4" w:space="0"/>
            </w:tcBorders>
            <w:shd w:val="clear" w:color="auto" w:fill="auto"/>
            <w:noWrap/>
            <w:vAlign w:val="center"/>
          </w:tcPr>
          <w:p w14:paraId="7BAF920A">
            <w:pPr>
              <w:jc w:val="center"/>
              <w:rPr>
                <w:rFonts w:ascii="宋体" w:hAnsi="宋体" w:eastAsia="宋体" w:cs="宋体"/>
                <w:szCs w:val="21"/>
              </w:rPr>
            </w:pPr>
            <w:r>
              <w:rPr>
                <w:rFonts w:hint="eastAsia" w:ascii="宋体" w:hAnsi="宋体" w:eastAsia="宋体" w:cs="宋体"/>
                <w:szCs w:val="21"/>
              </w:rPr>
              <w:t>数字经济实验室（国际经济学综合决策仿真实验）</w:t>
            </w:r>
          </w:p>
        </w:tc>
      </w:tr>
      <w:tr w14:paraId="28CF2D1B">
        <w:tblPrEx>
          <w:tblCellMar>
            <w:top w:w="0" w:type="dxa"/>
            <w:left w:w="108" w:type="dxa"/>
            <w:bottom w:w="0" w:type="dxa"/>
            <w:right w:w="108" w:type="dxa"/>
          </w:tblCellMar>
        </w:tblPrEx>
        <w:trPr>
          <w:trHeight w:val="610"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37C053">
            <w:pPr>
              <w:widowControl/>
              <w:jc w:val="center"/>
              <w:rPr>
                <w:rFonts w:ascii="宋体" w:hAnsi="宋体" w:eastAsia="宋体" w:cs="宋体"/>
                <w:kern w:val="0"/>
                <w:szCs w:val="21"/>
              </w:rPr>
            </w:pPr>
            <w:r>
              <w:rPr>
                <w:rFonts w:hint="eastAsia" w:ascii="宋体" w:hAnsi="宋体" w:eastAsia="宋体" w:cs="宋体"/>
                <w:kern w:val="0"/>
                <w:szCs w:val="21"/>
              </w:rPr>
              <w:t>项目地点</w:t>
            </w:r>
          </w:p>
        </w:tc>
        <w:tc>
          <w:tcPr>
            <w:tcW w:w="2775" w:type="dxa"/>
            <w:tcBorders>
              <w:top w:val="single" w:color="auto" w:sz="4" w:space="0"/>
              <w:left w:val="nil"/>
              <w:bottom w:val="single" w:color="auto" w:sz="4" w:space="0"/>
              <w:right w:val="single" w:color="auto" w:sz="4" w:space="0"/>
            </w:tcBorders>
            <w:shd w:val="clear" w:color="auto" w:fill="auto"/>
            <w:noWrap/>
            <w:vAlign w:val="center"/>
          </w:tcPr>
          <w:p w14:paraId="521428C3">
            <w:pPr>
              <w:widowControl/>
              <w:jc w:val="center"/>
              <w:rPr>
                <w:rFonts w:ascii="宋体" w:hAnsi="宋体" w:eastAsia="宋体" w:cs="宋体"/>
                <w:kern w:val="0"/>
                <w:szCs w:val="21"/>
              </w:rPr>
            </w:pPr>
            <w:r>
              <w:rPr>
                <w:rFonts w:hint="eastAsia" w:ascii="宋体" w:hAnsi="宋体" w:eastAsia="宋体" w:cs="宋体"/>
                <w:kern w:val="0"/>
                <w:szCs w:val="21"/>
                <w:highlight w:val="yellow"/>
              </w:rPr>
              <w:t>XX学院</w:t>
            </w:r>
          </w:p>
        </w:tc>
        <w:tc>
          <w:tcPr>
            <w:tcW w:w="1927" w:type="dxa"/>
            <w:tcBorders>
              <w:top w:val="single" w:color="auto" w:sz="4" w:space="0"/>
              <w:left w:val="nil"/>
              <w:bottom w:val="single" w:color="auto" w:sz="4" w:space="0"/>
              <w:right w:val="single" w:color="auto" w:sz="4" w:space="0"/>
            </w:tcBorders>
            <w:shd w:val="clear" w:color="auto" w:fill="auto"/>
            <w:noWrap/>
            <w:vAlign w:val="center"/>
          </w:tcPr>
          <w:p w14:paraId="607E8A10">
            <w:pPr>
              <w:widowControl/>
              <w:jc w:val="center"/>
              <w:rPr>
                <w:rFonts w:ascii="宋体" w:hAnsi="宋体" w:eastAsia="宋体" w:cs="宋体"/>
                <w:kern w:val="0"/>
                <w:szCs w:val="21"/>
              </w:rPr>
            </w:pPr>
            <w:r>
              <w:rPr>
                <w:rFonts w:hint="eastAsia" w:ascii="宋体" w:hAnsi="宋体" w:eastAsia="宋体" w:cs="宋体"/>
                <w:kern w:val="0"/>
                <w:szCs w:val="21"/>
              </w:rPr>
              <w:t>预算数（万元）</w:t>
            </w:r>
          </w:p>
        </w:tc>
        <w:tc>
          <w:tcPr>
            <w:tcW w:w="1885" w:type="dxa"/>
            <w:tcBorders>
              <w:top w:val="single" w:color="auto" w:sz="4" w:space="0"/>
              <w:left w:val="nil"/>
              <w:bottom w:val="single" w:color="auto" w:sz="4" w:space="0"/>
              <w:right w:val="single" w:color="auto" w:sz="4" w:space="0"/>
            </w:tcBorders>
            <w:shd w:val="clear" w:color="auto" w:fill="auto"/>
            <w:vAlign w:val="center"/>
          </w:tcPr>
          <w:p w14:paraId="0BB527CE">
            <w:pPr>
              <w:widowControl/>
              <w:jc w:val="left"/>
              <w:rPr>
                <w:rFonts w:ascii="宋体" w:hAnsi="宋体" w:eastAsia="宋体" w:cs="宋体"/>
                <w:kern w:val="0"/>
                <w:szCs w:val="21"/>
              </w:rPr>
            </w:pPr>
            <w:r>
              <w:rPr>
                <w:rFonts w:hint="eastAsia" w:ascii="宋体" w:hAnsi="宋体" w:cs="宋体"/>
                <w:color w:val="000000"/>
                <w:kern w:val="0"/>
                <w:szCs w:val="21"/>
              </w:rPr>
              <w:t>85.586</w:t>
            </w:r>
          </w:p>
        </w:tc>
      </w:tr>
      <w:tr w14:paraId="3027B34A">
        <w:tblPrEx>
          <w:tblCellMar>
            <w:top w:w="0" w:type="dxa"/>
            <w:left w:w="108" w:type="dxa"/>
            <w:bottom w:w="0" w:type="dxa"/>
            <w:right w:w="108" w:type="dxa"/>
          </w:tblCellMar>
        </w:tblPrEx>
        <w:trPr>
          <w:trHeight w:val="640"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4EC85B">
            <w:pPr>
              <w:jc w:val="center"/>
              <w:rPr>
                <w:rFonts w:ascii="宋体" w:hAnsi="宋体" w:eastAsia="宋体" w:cs="宋体"/>
                <w:kern w:val="0"/>
                <w:szCs w:val="21"/>
              </w:rPr>
            </w:pPr>
            <w:r>
              <w:rPr>
                <w:rFonts w:hint="eastAsia" w:ascii="宋体" w:hAnsi="宋体" w:eastAsia="宋体" w:cs="宋体"/>
                <w:kern w:val="0"/>
                <w:szCs w:val="21"/>
              </w:rPr>
              <w:t>起始年份</w:t>
            </w:r>
          </w:p>
        </w:tc>
        <w:tc>
          <w:tcPr>
            <w:tcW w:w="2775" w:type="dxa"/>
            <w:tcBorders>
              <w:top w:val="single" w:color="auto" w:sz="4" w:space="0"/>
              <w:left w:val="nil"/>
              <w:bottom w:val="single" w:color="auto" w:sz="4" w:space="0"/>
              <w:right w:val="single" w:color="auto" w:sz="4" w:space="0"/>
            </w:tcBorders>
            <w:shd w:val="clear" w:color="auto" w:fill="auto"/>
            <w:noWrap/>
            <w:vAlign w:val="center"/>
          </w:tcPr>
          <w:p w14:paraId="728CCDEA">
            <w:pPr>
              <w:jc w:val="center"/>
              <w:rPr>
                <w:rFonts w:ascii="宋体" w:hAnsi="宋体" w:eastAsia="宋体" w:cs="宋体"/>
                <w:kern w:val="0"/>
                <w:szCs w:val="21"/>
              </w:rPr>
            </w:pPr>
            <w:r>
              <w:rPr>
                <w:rFonts w:hint="eastAsia" w:ascii="宋体" w:hAnsi="宋体" w:eastAsia="宋体" w:cs="宋体"/>
                <w:kern w:val="0"/>
                <w:szCs w:val="21"/>
              </w:rPr>
              <w:t>2022年</w:t>
            </w:r>
          </w:p>
        </w:tc>
        <w:tc>
          <w:tcPr>
            <w:tcW w:w="1927" w:type="dxa"/>
            <w:tcBorders>
              <w:top w:val="single" w:color="auto" w:sz="4" w:space="0"/>
              <w:left w:val="nil"/>
              <w:bottom w:val="single" w:color="auto" w:sz="4" w:space="0"/>
              <w:right w:val="single" w:color="auto" w:sz="4" w:space="0"/>
            </w:tcBorders>
            <w:shd w:val="clear" w:color="auto" w:fill="auto"/>
            <w:noWrap/>
            <w:vAlign w:val="center"/>
          </w:tcPr>
          <w:p w14:paraId="48155E98">
            <w:pPr>
              <w:jc w:val="center"/>
              <w:rPr>
                <w:rFonts w:ascii="宋体" w:hAnsi="宋体" w:eastAsia="宋体" w:cs="宋体"/>
                <w:kern w:val="0"/>
                <w:szCs w:val="21"/>
              </w:rPr>
            </w:pPr>
            <w:r>
              <w:rPr>
                <w:rFonts w:hint="eastAsia" w:ascii="宋体" w:hAnsi="宋体" w:eastAsia="宋体" w:cs="宋体"/>
                <w:kern w:val="0"/>
                <w:szCs w:val="21"/>
              </w:rPr>
              <w:t>建设类型（新建/改建/扩建）</w:t>
            </w:r>
          </w:p>
        </w:tc>
        <w:tc>
          <w:tcPr>
            <w:tcW w:w="1885" w:type="dxa"/>
            <w:tcBorders>
              <w:top w:val="single" w:color="auto" w:sz="4" w:space="0"/>
              <w:left w:val="nil"/>
              <w:bottom w:val="single" w:color="auto" w:sz="4" w:space="0"/>
              <w:right w:val="single" w:color="auto" w:sz="4" w:space="0"/>
            </w:tcBorders>
            <w:shd w:val="clear" w:color="auto" w:fill="auto"/>
            <w:vAlign w:val="center"/>
          </w:tcPr>
          <w:p w14:paraId="28970AF6">
            <w:pPr>
              <w:widowControl/>
              <w:jc w:val="left"/>
              <w:rPr>
                <w:rFonts w:ascii="宋体" w:hAnsi="宋体" w:eastAsia="宋体" w:cs="宋体"/>
                <w:kern w:val="0"/>
                <w:szCs w:val="21"/>
              </w:rPr>
            </w:pPr>
            <w:r>
              <w:rPr>
                <w:rFonts w:hint="eastAsia" w:ascii="宋体" w:hAnsi="宋体" w:eastAsia="宋体" w:cs="宋体"/>
                <w:kern w:val="0"/>
                <w:szCs w:val="21"/>
                <w:highlight w:val="yellow"/>
              </w:rPr>
              <w:t>新建</w:t>
            </w:r>
          </w:p>
        </w:tc>
      </w:tr>
      <w:tr w14:paraId="4D96B46E">
        <w:tblPrEx>
          <w:tblCellMar>
            <w:top w:w="0" w:type="dxa"/>
            <w:left w:w="108" w:type="dxa"/>
            <w:bottom w:w="0" w:type="dxa"/>
            <w:right w:w="108" w:type="dxa"/>
          </w:tblCellMar>
        </w:tblPrEx>
        <w:trPr>
          <w:trHeight w:val="640"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C27E8">
            <w:pPr>
              <w:jc w:val="center"/>
              <w:rPr>
                <w:rFonts w:ascii="宋体" w:hAnsi="宋体" w:eastAsia="宋体" w:cs="宋体"/>
                <w:kern w:val="0"/>
                <w:szCs w:val="21"/>
              </w:rPr>
            </w:pPr>
            <w:r>
              <w:rPr>
                <w:rFonts w:hint="eastAsia" w:ascii="宋体" w:hAnsi="宋体" w:eastAsia="宋体" w:cs="宋体"/>
                <w:kern w:val="0"/>
                <w:szCs w:val="21"/>
              </w:rPr>
              <w:t>项目负责人</w:t>
            </w:r>
          </w:p>
        </w:tc>
        <w:tc>
          <w:tcPr>
            <w:tcW w:w="2775" w:type="dxa"/>
            <w:tcBorders>
              <w:top w:val="single" w:color="auto" w:sz="4" w:space="0"/>
              <w:left w:val="nil"/>
              <w:bottom w:val="single" w:color="auto" w:sz="4" w:space="0"/>
              <w:right w:val="single" w:color="auto" w:sz="4" w:space="0"/>
            </w:tcBorders>
            <w:shd w:val="clear" w:color="auto" w:fill="auto"/>
            <w:noWrap/>
            <w:vAlign w:val="center"/>
          </w:tcPr>
          <w:p w14:paraId="2BFEF7AE">
            <w:pPr>
              <w:jc w:val="center"/>
              <w:rPr>
                <w:rFonts w:ascii="宋体" w:hAnsi="宋体" w:eastAsia="宋体" w:cs="宋体"/>
                <w:kern w:val="0"/>
                <w:szCs w:val="21"/>
              </w:rPr>
            </w:pPr>
            <w:r>
              <w:rPr>
                <w:rFonts w:hint="eastAsia" w:ascii="宋体" w:hAnsi="宋体" w:eastAsia="宋体" w:cs="宋体"/>
                <w:kern w:val="0"/>
                <w:szCs w:val="21"/>
                <w:highlight w:val="yellow"/>
              </w:rPr>
              <w:t xml:space="preserve">   </w:t>
            </w:r>
          </w:p>
        </w:tc>
        <w:tc>
          <w:tcPr>
            <w:tcW w:w="1927" w:type="dxa"/>
            <w:tcBorders>
              <w:top w:val="single" w:color="auto" w:sz="4" w:space="0"/>
              <w:left w:val="nil"/>
              <w:bottom w:val="single" w:color="auto" w:sz="4" w:space="0"/>
              <w:right w:val="single" w:color="auto" w:sz="4" w:space="0"/>
            </w:tcBorders>
            <w:shd w:val="clear" w:color="auto" w:fill="auto"/>
            <w:noWrap/>
            <w:vAlign w:val="center"/>
          </w:tcPr>
          <w:p w14:paraId="2811740F">
            <w:pPr>
              <w:jc w:val="center"/>
              <w:rPr>
                <w:rFonts w:ascii="宋体" w:hAnsi="宋体" w:eastAsia="宋体" w:cs="宋体"/>
                <w:kern w:val="0"/>
                <w:szCs w:val="21"/>
              </w:rPr>
            </w:pPr>
            <w:r>
              <w:rPr>
                <w:rFonts w:hint="eastAsia" w:ascii="宋体" w:hAnsi="宋体" w:eastAsia="宋体" w:cs="宋体"/>
                <w:kern w:val="0"/>
                <w:szCs w:val="21"/>
              </w:rPr>
              <w:t>建设周期</w:t>
            </w:r>
          </w:p>
        </w:tc>
        <w:tc>
          <w:tcPr>
            <w:tcW w:w="1885" w:type="dxa"/>
            <w:tcBorders>
              <w:top w:val="single" w:color="auto" w:sz="4" w:space="0"/>
              <w:left w:val="nil"/>
              <w:bottom w:val="single" w:color="auto" w:sz="4" w:space="0"/>
              <w:right w:val="single" w:color="auto" w:sz="4" w:space="0"/>
            </w:tcBorders>
            <w:shd w:val="clear" w:color="auto" w:fill="auto"/>
            <w:vAlign w:val="center"/>
          </w:tcPr>
          <w:p w14:paraId="51BBBED8">
            <w:pPr>
              <w:widowControl/>
              <w:jc w:val="left"/>
              <w:rPr>
                <w:rFonts w:ascii="宋体" w:hAnsi="宋体" w:eastAsia="宋体" w:cs="宋体"/>
                <w:kern w:val="0"/>
                <w:szCs w:val="21"/>
              </w:rPr>
            </w:pPr>
            <w:r>
              <w:rPr>
                <w:rFonts w:hint="eastAsia" w:ascii="宋体" w:hAnsi="宋体" w:eastAsia="宋体" w:cs="宋体"/>
                <w:kern w:val="0"/>
                <w:szCs w:val="21"/>
              </w:rPr>
              <w:t>0.5年（2022/09-2023/02）</w:t>
            </w:r>
          </w:p>
        </w:tc>
      </w:tr>
      <w:tr w14:paraId="45547320">
        <w:tblPrEx>
          <w:tblCellMar>
            <w:top w:w="0" w:type="dxa"/>
            <w:left w:w="108" w:type="dxa"/>
            <w:bottom w:w="0" w:type="dxa"/>
            <w:right w:w="108" w:type="dxa"/>
          </w:tblCellMar>
        </w:tblPrEx>
        <w:trPr>
          <w:trHeight w:val="884"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35B277">
            <w:pPr>
              <w:widowControl/>
              <w:jc w:val="center"/>
              <w:rPr>
                <w:rFonts w:ascii="宋体" w:hAnsi="宋体" w:eastAsia="宋体" w:cs="宋体"/>
                <w:kern w:val="0"/>
                <w:szCs w:val="21"/>
              </w:rPr>
            </w:pPr>
            <w:r>
              <w:rPr>
                <w:rFonts w:hint="eastAsia" w:ascii="宋体" w:hAnsi="宋体" w:eastAsia="宋体" w:cs="宋体"/>
                <w:kern w:val="0"/>
                <w:szCs w:val="21"/>
              </w:rPr>
              <w:t>项目简要说明</w:t>
            </w:r>
          </w:p>
        </w:tc>
        <w:tc>
          <w:tcPr>
            <w:tcW w:w="6587" w:type="dxa"/>
            <w:gridSpan w:val="3"/>
            <w:tcBorders>
              <w:top w:val="single" w:color="auto" w:sz="4" w:space="0"/>
              <w:left w:val="nil"/>
              <w:bottom w:val="single" w:color="auto" w:sz="4" w:space="0"/>
              <w:right w:val="single" w:color="auto" w:sz="4" w:space="0"/>
            </w:tcBorders>
            <w:shd w:val="clear" w:color="auto" w:fill="auto"/>
            <w:noWrap/>
            <w:vAlign w:val="center"/>
          </w:tcPr>
          <w:p w14:paraId="7811DE19">
            <w:pPr>
              <w:snapToGrid w:val="0"/>
              <w:ind w:firstLine="420" w:firstLineChars="200"/>
              <w:rPr>
                <w:rFonts w:ascii="宋体" w:hAnsi="宋体" w:eastAsia="宋体" w:cs="宋体"/>
                <w:szCs w:val="21"/>
              </w:rPr>
            </w:pPr>
            <w:r>
              <w:rPr>
                <w:rFonts w:hint="eastAsia" w:ascii="宋体" w:hAnsi="宋体" w:eastAsia="宋体" w:cs="宋体"/>
                <w:szCs w:val="21"/>
              </w:rPr>
              <w:t>国际经济学是建立在经济学基本理论基础上的经济学独立分支，近几十年来已成为经济学领域中发展最快、影响最大的分支之一。在国内外的经济学教学中，国际经济学已被越来越多的大学列为经济学类学生必修的课程。在我院，国际经济学作为国际经济与贸易专业课程，但其重要性已得到充分认可，但目前该课程属于理论课程，缺乏相关实验课程负责、。</w:t>
            </w:r>
          </w:p>
          <w:p w14:paraId="1E73FE93">
            <w:pPr>
              <w:snapToGrid w:val="0"/>
              <w:ind w:firstLine="420" w:firstLineChars="200"/>
              <w:rPr>
                <w:rFonts w:ascii="宋体" w:hAnsi="宋体" w:eastAsia="宋体" w:cs="宋体"/>
                <w:kern w:val="0"/>
                <w:szCs w:val="21"/>
              </w:rPr>
            </w:pPr>
            <w:r>
              <w:rPr>
                <w:rFonts w:hint="eastAsia" w:ascii="宋体" w:hAnsi="宋体" w:eastAsia="宋体" w:cs="宋体"/>
                <w:szCs w:val="21"/>
              </w:rPr>
              <w:t>数字经济实验室（国际经济学综合决策仿真实验）实训旨在通过为学生创造一个接近现实的教学环境模拟国际经济与贸易，引导学员结合现实案例反思国际经济与贸易中的现象，如贸易战、金融战、科技战等，并指导整理出案例，为教师提供多种辅助教学手段，提高学生的专业水平和社会实践能力，争取</w:t>
            </w:r>
            <w:r>
              <w:rPr>
                <w:rFonts w:hint="eastAsia" w:ascii="宋体" w:hAnsi="宋体" w:eastAsia="宋体" w:cs="宋体"/>
                <w:szCs w:val="21"/>
                <w:lang w:eastAsia="zh-CN"/>
              </w:rPr>
              <w:t>更多</w:t>
            </w:r>
            <w:r>
              <w:rPr>
                <w:rFonts w:hint="eastAsia" w:ascii="宋体" w:hAnsi="宋体" w:eastAsia="宋体" w:cs="宋体"/>
                <w:szCs w:val="21"/>
              </w:rPr>
              <w:t>的就业机会。</w:t>
            </w:r>
          </w:p>
        </w:tc>
      </w:tr>
      <w:tr w14:paraId="5B280886">
        <w:tblPrEx>
          <w:tblCellMar>
            <w:top w:w="0" w:type="dxa"/>
            <w:left w:w="108" w:type="dxa"/>
            <w:bottom w:w="0" w:type="dxa"/>
            <w:right w:w="108" w:type="dxa"/>
          </w:tblCellMar>
        </w:tblPrEx>
        <w:trPr>
          <w:trHeight w:val="1599"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F1EEB5">
            <w:pPr>
              <w:widowControl/>
              <w:ind w:firstLine="105" w:firstLineChars="50"/>
              <w:jc w:val="center"/>
              <w:rPr>
                <w:rFonts w:ascii="宋体" w:hAnsi="宋体" w:eastAsia="宋体" w:cs="宋体"/>
                <w:kern w:val="0"/>
                <w:szCs w:val="21"/>
              </w:rPr>
            </w:pPr>
            <w:r>
              <w:rPr>
                <w:rFonts w:hint="eastAsia" w:ascii="宋体" w:hAnsi="宋体" w:eastAsia="宋体" w:cs="宋体"/>
                <w:kern w:val="0"/>
                <w:szCs w:val="21"/>
              </w:rPr>
              <w:t>立项依据及政策简要说明</w:t>
            </w:r>
          </w:p>
          <w:p w14:paraId="444CD207">
            <w:pPr>
              <w:widowControl/>
              <w:ind w:firstLine="105" w:firstLineChars="50"/>
              <w:jc w:val="center"/>
              <w:rPr>
                <w:rFonts w:ascii="宋体" w:hAnsi="宋体" w:eastAsia="宋体" w:cs="宋体"/>
                <w:kern w:val="0"/>
                <w:szCs w:val="21"/>
              </w:rPr>
            </w:pPr>
            <w:r>
              <w:rPr>
                <w:rFonts w:hint="eastAsia" w:ascii="宋体" w:hAnsi="宋体" w:eastAsia="宋体" w:cs="宋体"/>
                <w:kern w:val="0"/>
                <w:szCs w:val="21"/>
              </w:rPr>
              <w:t>（不少于200字）</w:t>
            </w:r>
          </w:p>
        </w:tc>
        <w:tc>
          <w:tcPr>
            <w:tcW w:w="6587" w:type="dxa"/>
            <w:gridSpan w:val="3"/>
            <w:tcBorders>
              <w:top w:val="single" w:color="auto" w:sz="4" w:space="0"/>
              <w:left w:val="nil"/>
              <w:bottom w:val="single" w:color="auto" w:sz="4" w:space="0"/>
              <w:right w:val="single" w:color="auto" w:sz="4" w:space="0"/>
            </w:tcBorders>
            <w:shd w:val="clear" w:color="auto" w:fill="auto"/>
            <w:noWrap/>
            <w:vAlign w:val="center"/>
          </w:tcPr>
          <w:p w14:paraId="6179F18A">
            <w:pPr>
              <w:numPr>
                <w:ilvl w:val="1"/>
                <w:numId w:val="3"/>
              </w:numPr>
              <w:ind w:firstLine="422" w:firstLineChars="200"/>
              <w:rPr>
                <w:rFonts w:ascii="宋体" w:hAnsi="宋体" w:eastAsia="宋体" w:cs="宋体"/>
                <w:b/>
                <w:color w:val="000000"/>
                <w:kern w:val="0"/>
                <w:szCs w:val="21"/>
              </w:rPr>
            </w:pPr>
            <w:r>
              <w:rPr>
                <w:rFonts w:hint="eastAsia" w:ascii="宋体" w:hAnsi="宋体" w:eastAsia="宋体" w:cs="宋体"/>
                <w:b/>
                <w:color w:val="000000"/>
                <w:kern w:val="0"/>
                <w:szCs w:val="21"/>
              </w:rPr>
              <w:t>必要性和可行性（立项依据及政策）</w:t>
            </w:r>
          </w:p>
          <w:p w14:paraId="28BD6D59">
            <w:pPr>
              <w:numPr>
                <w:ilvl w:val="2"/>
                <w:numId w:val="3"/>
              </w:numPr>
              <w:rPr>
                <w:rFonts w:ascii="宋体" w:hAnsi="宋体" w:eastAsia="宋体" w:cs="宋体"/>
                <w:b/>
                <w:color w:val="000000"/>
                <w:kern w:val="0"/>
                <w:szCs w:val="21"/>
              </w:rPr>
            </w:pPr>
            <w:r>
              <w:rPr>
                <w:rFonts w:hint="eastAsia" w:ascii="宋体" w:hAnsi="宋体" w:eastAsia="宋体" w:cs="宋体"/>
                <w:b/>
                <w:color w:val="000000"/>
                <w:kern w:val="0"/>
                <w:szCs w:val="21"/>
              </w:rPr>
              <w:t>必要性</w:t>
            </w:r>
          </w:p>
          <w:p w14:paraId="27713CEA">
            <w:pPr>
              <w:pStyle w:val="2"/>
              <w:numPr>
                <w:ilvl w:val="0"/>
                <w:numId w:val="4"/>
              </w:numPr>
              <w:spacing w:line="240" w:lineRule="auto"/>
              <w:ind w:left="0" w:firstLine="560" w:firstLineChars="200"/>
              <w:rPr>
                <w:rFonts w:ascii="宋体" w:hAnsi="宋体" w:eastAsia="宋体" w:cs="宋体"/>
              </w:rPr>
            </w:pPr>
            <w:r>
              <w:rPr>
                <w:rFonts w:hint="eastAsia" w:ascii="宋体" w:hAnsi="宋体" w:eastAsia="宋体" w:cs="宋体"/>
              </w:rPr>
              <w:t>由于现在的国际经济学课程多以理论课程为主，如何学生生动理解国际经济与贸易中复杂的模型、繁杂的概念，研发了数字经济实验室（国际经济学综合决策仿真实验）实训课程，让学生在实训模拟中系统了解国际经济学中的基本概念、基本知识和基本理论；让学生熟练掌握国际经济学中的主要分析方法和基本模型；在掌握基本原理的基础上，让学生能够对国际经济中的一些主要现象、历史演变和发展趋势有一个总体的认识和理解，引导学生结合现实案例反思国际经济与贸易中的现象，如贸易战、金融战、科技战等，并指导整理出案例。通过本课程的教学，要求能使学生对国际经济学的整体体系有一个明确的把握，并做到理论与实践相结合，提高学生的理论基础和应用能力，培养学生综合分析问题、解决问题的能力。特别是对那些日后将从事对外经济活动的学生，希望通过本课程的教学，能不同程度地提高他们的实际工作能力。同时提高国际与贸易专业建设水平。</w:t>
            </w:r>
          </w:p>
          <w:p w14:paraId="58DB4671">
            <w:pPr>
              <w:pStyle w:val="2"/>
              <w:numPr>
                <w:ilvl w:val="0"/>
                <w:numId w:val="4"/>
              </w:numPr>
              <w:spacing w:line="240" w:lineRule="auto"/>
              <w:ind w:left="0" w:firstLine="560" w:firstLineChars="200"/>
              <w:rPr>
                <w:rFonts w:ascii="宋体" w:hAnsi="宋体" w:eastAsia="宋体" w:cs="宋体"/>
              </w:rPr>
            </w:pPr>
            <w:r>
              <w:rPr>
                <w:rFonts w:hint="eastAsia" w:ascii="宋体" w:hAnsi="宋体" w:eastAsia="宋体" w:cs="宋体"/>
              </w:rPr>
              <w:t>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数字经济项目建设，申报建设数字经济实验室（国际经济学综合决策仿真实验），落实“数字经济人才”培养，从高校层面助力国家数字经济建设。</w:t>
            </w:r>
          </w:p>
          <w:p w14:paraId="0DBB9841">
            <w:pPr>
              <w:pStyle w:val="2"/>
              <w:numPr>
                <w:ilvl w:val="0"/>
                <w:numId w:val="4"/>
              </w:numPr>
              <w:spacing w:line="240" w:lineRule="auto"/>
              <w:ind w:left="0" w:firstLine="560" w:firstLineChars="200"/>
              <w:rPr>
                <w:rFonts w:ascii="宋体" w:hAnsi="宋体" w:eastAsia="宋体" w:cs="宋体"/>
              </w:rPr>
            </w:pPr>
            <w:r>
              <w:rPr>
                <w:rFonts w:hint="eastAsia" w:ascii="宋体" w:hAnsi="宋体" w:eastAsia="宋体" w:cs="宋体"/>
              </w:rPr>
              <w:t>根据教育部教高函【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强虚拟仿真类实训实验的项目建设。《数字经济实验室（国际经济学综合决策仿真实验）》正是基于虚拟仿真的高端数据决策实验。</w:t>
            </w:r>
          </w:p>
          <w:p w14:paraId="0AC8F013">
            <w:pPr>
              <w:pStyle w:val="2"/>
              <w:numPr>
                <w:ilvl w:val="0"/>
                <w:numId w:val="4"/>
              </w:numPr>
              <w:spacing w:line="240" w:lineRule="auto"/>
              <w:ind w:left="0" w:firstLine="560" w:firstLineChars="200"/>
              <w:rPr>
                <w:rFonts w:ascii="宋体" w:hAnsi="宋体" w:eastAsia="宋体" w:cs="宋体"/>
              </w:rPr>
            </w:pPr>
            <w:r>
              <w:rPr>
                <w:rFonts w:hint="eastAsia" w:ascii="宋体" w:hAnsi="宋体" w:eastAsia="宋体" w:cs="宋体"/>
              </w:rPr>
              <w:t>由于国际经济与贸易专业具有理论模型众多、涉及面广、高度抽象的特点，学生要在毕业实习过程中应用经济知识分析解决实际问题非常困难；急需能模拟现实要素禀赋理论、绝对优势和比较优势、开展国际竞争与贸易决策的虚拟仿真软件。</w:t>
            </w:r>
          </w:p>
          <w:p w14:paraId="62F9127C">
            <w:pPr>
              <w:pStyle w:val="2"/>
              <w:numPr>
                <w:ilvl w:val="0"/>
                <w:numId w:val="4"/>
              </w:numPr>
              <w:spacing w:line="240" w:lineRule="auto"/>
              <w:ind w:left="0" w:firstLine="560" w:firstLineChars="200"/>
              <w:rPr>
                <w:rFonts w:ascii="宋体" w:hAnsi="宋体" w:eastAsia="宋体" w:cs="宋体"/>
              </w:rPr>
            </w:pPr>
            <w:r>
              <w:rPr>
                <w:rFonts w:hint="eastAsia" w:ascii="宋体" w:hAnsi="宋体" w:eastAsia="宋体" w:cs="宋体"/>
              </w:rPr>
              <w:t>教育部正在实施的“双万计划”，急需建设省级和国家级一流专业、一流金课，本项目的仿真实验具有更深层次后台业务决策、国际收支、关税壁垒数据分析等实训实验环节，能够为我校申报建设一流专业、一流金课提供强有力的支撑。</w:t>
            </w:r>
          </w:p>
          <w:p w14:paraId="340C3C02">
            <w:pPr>
              <w:pStyle w:val="2"/>
              <w:numPr>
                <w:ilvl w:val="0"/>
                <w:numId w:val="4"/>
              </w:numPr>
              <w:spacing w:line="240" w:lineRule="auto"/>
              <w:ind w:left="0" w:firstLine="560" w:firstLineChars="200"/>
              <w:rPr>
                <w:rFonts w:ascii="宋体" w:hAnsi="宋体" w:eastAsia="宋体" w:cs="宋体"/>
              </w:rPr>
            </w:pPr>
            <w:r>
              <w:rPr>
                <w:rFonts w:hint="eastAsia" w:ascii="宋体" w:hAnsi="宋体" w:eastAsia="宋体" w:cs="宋体"/>
              </w:rPr>
              <w:t>《数字经济实验室（国际经济学综合决策仿真实验）》系全国经济学虚拟仿真决策实验大赛软件（赛道四：国际经济分析与决策竞赛)，，全国已有93所高校参加，480支队伍报名，如中国石油大学、南京审计大学、黑龙江财经大学、广东海洋大学、广东科技大学等，累计参与学生超过1000人，在全国已有较大影响力，这将为我校今后的本科合格评估加分。</w:t>
            </w:r>
          </w:p>
          <w:p w14:paraId="1D0F6DB6">
            <w:pPr>
              <w:numPr>
                <w:ilvl w:val="2"/>
                <w:numId w:val="3"/>
              </w:numPr>
              <w:rPr>
                <w:rFonts w:ascii="宋体" w:hAnsi="宋体" w:eastAsia="宋体" w:cs="宋体"/>
                <w:b/>
                <w:color w:val="000000"/>
                <w:kern w:val="0"/>
                <w:szCs w:val="21"/>
              </w:rPr>
            </w:pPr>
            <w:r>
              <w:rPr>
                <w:rFonts w:hint="eastAsia" w:ascii="宋体" w:hAnsi="宋体" w:eastAsia="宋体" w:cs="宋体"/>
                <w:b/>
                <w:color w:val="000000"/>
                <w:kern w:val="0"/>
                <w:szCs w:val="21"/>
              </w:rPr>
              <w:t>可行性</w:t>
            </w:r>
          </w:p>
          <w:p w14:paraId="3300587C">
            <w:pPr>
              <w:numPr>
                <w:ilvl w:val="3"/>
                <w:numId w:val="5"/>
              </w:numPr>
              <w:rPr>
                <w:rFonts w:ascii="宋体" w:hAnsi="宋体" w:eastAsia="宋体" w:cs="宋体"/>
                <w:b/>
                <w:bCs/>
                <w:szCs w:val="21"/>
                <w:lang w:bidi="ar"/>
              </w:rPr>
            </w:pPr>
            <w:r>
              <w:rPr>
                <w:rFonts w:hint="eastAsia" w:ascii="宋体" w:hAnsi="宋体" w:eastAsia="宋体" w:cs="宋体"/>
                <w:b/>
                <w:bCs/>
                <w:szCs w:val="21"/>
                <w:lang w:bidi="ar"/>
              </w:rPr>
              <w:t>实验用房</w:t>
            </w:r>
          </w:p>
          <w:p w14:paraId="13445E76">
            <w:pPr>
              <w:ind w:firstLine="420" w:firstLineChars="200"/>
              <w:rPr>
                <w:rFonts w:ascii="宋体" w:hAnsi="宋体" w:eastAsia="宋体" w:cs="宋体"/>
                <w:szCs w:val="21"/>
                <w:highlight w:val="yellow"/>
                <w:lang w:bidi="ar"/>
              </w:rPr>
            </w:pPr>
            <w:r>
              <w:rPr>
                <w:rFonts w:hint="eastAsia" w:ascii="宋体" w:hAnsi="宋体" w:eastAsia="宋体" w:cs="宋体"/>
                <w:szCs w:val="21"/>
                <w:highlight w:val="yellow"/>
                <w:lang w:bidi="ar"/>
              </w:rPr>
              <w:t>目前我院实验中心下设实验（训）室7个，占地面积近850平米，共投入290多万元。其中企业经营模拟实验室、沙盘管理实验室、国际商务谈判实训室、餐饮实训室和前厅与客房实训室、物流沙盘模拟实训室和物流管理综合模拟实训室7个实验（训）室，可基于现有实验室配备国际经济学仿真系统，无需新建或改造实验室，硬件环境已满足实验教学需要，实施起来相对容易很多。</w:t>
            </w:r>
          </w:p>
          <w:p w14:paraId="272D94B3">
            <w:pPr>
              <w:numPr>
                <w:ilvl w:val="3"/>
                <w:numId w:val="5"/>
              </w:numPr>
              <w:rPr>
                <w:rFonts w:ascii="宋体" w:hAnsi="宋体" w:eastAsia="宋体" w:cs="宋体"/>
                <w:b/>
                <w:bCs/>
                <w:szCs w:val="21"/>
                <w:lang w:bidi="ar"/>
              </w:rPr>
            </w:pPr>
            <w:r>
              <w:rPr>
                <w:rFonts w:hint="eastAsia" w:ascii="宋体" w:hAnsi="宋体" w:eastAsia="宋体" w:cs="宋体"/>
                <w:b/>
                <w:bCs/>
                <w:szCs w:val="21"/>
                <w:lang w:bidi="ar"/>
              </w:rPr>
              <w:t>项目建设的人员条件</w:t>
            </w:r>
          </w:p>
          <w:p w14:paraId="7FFB147E">
            <w:pPr>
              <w:ind w:firstLine="420" w:firstLineChars="200"/>
              <w:rPr>
                <w:rFonts w:ascii="宋体" w:hAnsi="宋体" w:eastAsia="宋体" w:cs="宋体"/>
                <w:szCs w:val="21"/>
                <w:highlight w:val="yellow"/>
                <w:lang w:bidi="ar"/>
              </w:rPr>
            </w:pPr>
            <w:r>
              <w:rPr>
                <w:rFonts w:hint="eastAsia" w:ascii="宋体" w:hAnsi="宋体" w:eastAsia="宋体" w:cs="宋体"/>
                <w:szCs w:val="21"/>
                <w:highlight w:val="yellow"/>
                <w:lang w:bidi="ar"/>
              </w:rPr>
              <w:t>我院有教职工87人，其中专任教师73人。30名专任教师具有高级职称，其中教授8人、副教授22人；45名专任教师具有硕士及以上学位，其中博士12名，在读博士1名；拥有唐山市优秀教师2名，河北省“三三三工程”人才2名，校师德标兵3人、优秀教师4人、三育人标兵4人、教学标兵1人；多名青年骨干教师到市商务局、发改委等政府部门进行挂职锻炼；邀请北京中关村皇冠假日酒店、物美集团培训中心、唐山电商众创空间等单位专业人士担任实践导师，形成了职称、学历、年龄和知识结构梯次递进、搭配合理的师资队伍，有专业的教师团队保证项目的建设。</w:t>
            </w:r>
          </w:p>
          <w:p w14:paraId="14DBBCE1">
            <w:pPr>
              <w:numPr>
                <w:ilvl w:val="3"/>
                <w:numId w:val="5"/>
              </w:numPr>
              <w:rPr>
                <w:rFonts w:ascii="宋体" w:hAnsi="宋体" w:eastAsia="宋体" w:cs="宋体"/>
                <w:b/>
                <w:bCs/>
                <w:szCs w:val="21"/>
                <w:lang w:bidi="ar"/>
              </w:rPr>
            </w:pPr>
            <w:r>
              <w:rPr>
                <w:rFonts w:hint="eastAsia" w:ascii="宋体" w:hAnsi="宋体" w:eastAsia="宋体" w:cs="宋体"/>
                <w:b/>
                <w:bCs/>
                <w:szCs w:val="21"/>
                <w:lang w:bidi="ar"/>
              </w:rPr>
              <w:t>市场调研情况分析</w:t>
            </w:r>
          </w:p>
          <w:p w14:paraId="664C6903">
            <w:pPr>
              <w:numPr>
                <w:ilvl w:val="4"/>
                <w:numId w:val="6"/>
              </w:numPr>
              <w:rPr>
                <w:rFonts w:ascii="宋体" w:hAnsi="宋体" w:eastAsia="宋体" w:cs="宋体"/>
                <w:szCs w:val="21"/>
                <w:lang w:bidi="ar"/>
              </w:rPr>
            </w:pPr>
            <w:r>
              <w:rPr>
                <w:rFonts w:hint="eastAsia" w:ascii="宋体" w:hAnsi="宋体" w:eastAsia="宋体" w:cs="宋体"/>
                <w:szCs w:val="21"/>
                <w:lang w:bidi="ar"/>
              </w:rPr>
              <w:t>选型理由</w:t>
            </w:r>
          </w:p>
          <w:tbl>
            <w:tblPr>
              <w:tblStyle w:val="1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5"/>
              <w:gridCol w:w="1620"/>
              <w:gridCol w:w="1618"/>
              <w:gridCol w:w="2035"/>
            </w:tblGrid>
            <w:tr w14:paraId="52D92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4" w:hRule="atLeast"/>
                <w:jc w:val="center"/>
              </w:trPr>
              <w:tc>
                <w:tcPr>
                  <w:tcW w:w="1165" w:type="dxa"/>
                  <w:tcBorders>
                    <w:top w:val="single" w:color="auto" w:sz="4" w:space="0"/>
                    <w:left w:val="single" w:color="auto" w:sz="4" w:space="0"/>
                    <w:bottom w:val="single" w:color="auto" w:sz="4" w:space="0"/>
                    <w:right w:val="single" w:color="auto" w:sz="4" w:space="0"/>
                  </w:tcBorders>
                </w:tcPr>
                <w:p w14:paraId="06EEA0FC">
                  <w:pPr>
                    <w:spacing w:line="90" w:lineRule="atLeast"/>
                    <w:jc w:val="center"/>
                    <w:rPr>
                      <w:rFonts w:ascii="宋体" w:hAnsi="宋体" w:eastAsia="宋体" w:cs="宋体"/>
                      <w:sz w:val="18"/>
                      <w:szCs w:val="18"/>
                    </w:rPr>
                  </w:pPr>
                  <w:r>
                    <w:rPr>
                      <w:rFonts w:hint="eastAsia" w:ascii="宋体" w:hAnsi="宋体" w:eastAsia="宋体" w:cs="宋体"/>
                      <w:sz w:val="18"/>
                      <w:szCs w:val="18"/>
                    </w:rPr>
                    <w:t>软件品牌</w:t>
                  </w:r>
                </w:p>
              </w:tc>
              <w:tc>
                <w:tcPr>
                  <w:tcW w:w="1620" w:type="dxa"/>
                  <w:tcBorders>
                    <w:top w:val="single" w:color="auto" w:sz="4" w:space="0"/>
                    <w:left w:val="single" w:color="auto" w:sz="4" w:space="0"/>
                    <w:bottom w:val="single" w:color="auto" w:sz="4" w:space="0"/>
                    <w:right w:val="single" w:color="auto" w:sz="4" w:space="0"/>
                  </w:tcBorders>
                  <w:vAlign w:val="center"/>
                </w:tcPr>
                <w:p w14:paraId="61329F77">
                  <w:pPr>
                    <w:jc w:val="center"/>
                    <w:rPr>
                      <w:rFonts w:ascii="宋体" w:hAnsi="宋体" w:eastAsia="宋体" w:cs="宋体"/>
                      <w:b/>
                      <w:bCs/>
                      <w:sz w:val="18"/>
                      <w:szCs w:val="18"/>
                    </w:rPr>
                  </w:pPr>
                  <w:r>
                    <w:rPr>
                      <w:rFonts w:hint="eastAsia" w:ascii="宋体" w:hAnsi="宋体" w:eastAsia="宋体" w:cs="宋体"/>
                      <w:b/>
                      <w:bCs/>
                      <w:sz w:val="18"/>
                      <w:szCs w:val="18"/>
                    </w:rPr>
                    <w:t>杰科力</w:t>
                  </w:r>
                </w:p>
              </w:tc>
              <w:tc>
                <w:tcPr>
                  <w:tcW w:w="1618" w:type="dxa"/>
                  <w:tcBorders>
                    <w:top w:val="single" w:color="auto" w:sz="4" w:space="0"/>
                    <w:left w:val="single" w:color="auto" w:sz="4" w:space="0"/>
                    <w:bottom w:val="single" w:color="auto" w:sz="4" w:space="0"/>
                    <w:right w:val="single" w:color="auto" w:sz="4" w:space="0"/>
                  </w:tcBorders>
                  <w:vAlign w:val="center"/>
                </w:tcPr>
                <w:p w14:paraId="776495F6">
                  <w:pPr>
                    <w:jc w:val="center"/>
                    <w:rPr>
                      <w:rFonts w:ascii="宋体" w:hAnsi="宋体" w:eastAsia="宋体" w:cs="宋体"/>
                      <w:b/>
                      <w:bCs/>
                      <w:sz w:val="18"/>
                      <w:szCs w:val="18"/>
                    </w:rPr>
                  </w:pPr>
                  <w:r>
                    <w:rPr>
                      <w:rFonts w:hint="eastAsia" w:ascii="宋体" w:hAnsi="宋体" w:eastAsia="宋体" w:cs="宋体"/>
                      <w:b/>
                      <w:bCs/>
                      <w:sz w:val="18"/>
                      <w:szCs w:val="18"/>
                    </w:rPr>
                    <w:t>大成弘毅</w:t>
                  </w:r>
                </w:p>
              </w:tc>
              <w:tc>
                <w:tcPr>
                  <w:tcW w:w="2035" w:type="dxa"/>
                  <w:tcBorders>
                    <w:top w:val="single" w:color="auto" w:sz="4" w:space="0"/>
                    <w:left w:val="single" w:color="auto" w:sz="4" w:space="0"/>
                    <w:bottom w:val="single" w:color="auto" w:sz="4" w:space="0"/>
                    <w:right w:val="single" w:color="auto" w:sz="4" w:space="0"/>
                  </w:tcBorders>
                  <w:vAlign w:val="center"/>
                </w:tcPr>
                <w:p w14:paraId="4A3555A2">
                  <w:pPr>
                    <w:jc w:val="center"/>
                    <w:rPr>
                      <w:rFonts w:ascii="宋体" w:hAnsi="宋体" w:eastAsia="宋体" w:cs="宋体"/>
                      <w:b/>
                      <w:bCs/>
                      <w:sz w:val="18"/>
                      <w:szCs w:val="18"/>
                    </w:rPr>
                  </w:pPr>
                  <w:r>
                    <w:rPr>
                      <w:rFonts w:hint="eastAsia" w:ascii="宋体" w:hAnsi="宋体" w:eastAsia="宋体" w:cs="宋体"/>
                      <w:b/>
                      <w:bCs/>
                      <w:sz w:val="18"/>
                      <w:szCs w:val="18"/>
                    </w:rPr>
                    <w:t>慕课</w:t>
                  </w:r>
                </w:p>
              </w:tc>
            </w:tr>
            <w:tr w14:paraId="0EB1A1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3" w:hRule="atLeast"/>
                <w:jc w:val="center"/>
              </w:trPr>
              <w:tc>
                <w:tcPr>
                  <w:tcW w:w="1165" w:type="dxa"/>
                  <w:tcBorders>
                    <w:top w:val="single" w:color="auto" w:sz="4" w:space="0"/>
                    <w:left w:val="single" w:color="auto" w:sz="4" w:space="0"/>
                    <w:bottom w:val="single" w:color="auto" w:sz="4" w:space="0"/>
                    <w:right w:val="single" w:color="auto" w:sz="4" w:space="0"/>
                  </w:tcBorders>
                </w:tcPr>
                <w:p w14:paraId="7655D0D1">
                  <w:pPr>
                    <w:spacing w:line="90" w:lineRule="atLeast"/>
                    <w:jc w:val="center"/>
                    <w:rPr>
                      <w:rFonts w:ascii="宋体" w:hAnsi="宋体" w:eastAsia="宋体" w:cs="宋体"/>
                      <w:sz w:val="18"/>
                      <w:szCs w:val="18"/>
                    </w:rPr>
                  </w:pPr>
                  <w:r>
                    <w:rPr>
                      <w:rFonts w:hint="eastAsia" w:ascii="宋体" w:hAnsi="宋体" w:eastAsia="宋体" w:cs="宋体"/>
                      <w:sz w:val="18"/>
                      <w:szCs w:val="18"/>
                    </w:rPr>
                    <w:t>型号规格</w:t>
                  </w:r>
                </w:p>
              </w:tc>
              <w:tc>
                <w:tcPr>
                  <w:tcW w:w="1620" w:type="dxa"/>
                  <w:tcBorders>
                    <w:top w:val="single" w:color="auto" w:sz="4" w:space="0"/>
                    <w:left w:val="single" w:color="auto" w:sz="4" w:space="0"/>
                    <w:bottom w:val="single" w:color="auto" w:sz="4" w:space="0"/>
                    <w:right w:val="single" w:color="auto" w:sz="4" w:space="0"/>
                  </w:tcBorders>
                  <w:vAlign w:val="center"/>
                </w:tcPr>
                <w:p w14:paraId="37BB29AC">
                  <w:pPr>
                    <w:rPr>
                      <w:rFonts w:ascii="宋体" w:hAnsi="宋体" w:eastAsia="宋体" w:cs="宋体"/>
                      <w:sz w:val="18"/>
                      <w:szCs w:val="18"/>
                    </w:rPr>
                  </w:pPr>
                  <w:r>
                    <w:rPr>
                      <w:rFonts w:hint="eastAsia" w:ascii="宋体" w:hAnsi="宋体" w:eastAsia="宋体" w:cs="宋体"/>
                      <w:sz w:val="18"/>
                      <w:szCs w:val="18"/>
                    </w:rPr>
                    <w:t>国际经济学仿真实验系统（V2.0）</w:t>
                  </w:r>
                </w:p>
              </w:tc>
              <w:tc>
                <w:tcPr>
                  <w:tcW w:w="1618" w:type="dxa"/>
                  <w:tcBorders>
                    <w:top w:val="single" w:color="auto" w:sz="4" w:space="0"/>
                    <w:left w:val="single" w:color="auto" w:sz="4" w:space="0"/>
                    <w:bottom w:val="single" w:color="auto" w:sz="4" w:space="0"/>
                    <w:right w:val="single" w:color="auto" w:sz="4" w:space="0"/>
                  </w:tcBorders>
                  <w:vAlign w:val="center"/>
                </w:tcPr>
                <w:p w14:paraId="4865063A">
                  <w:pPr>
                    <w:rPr>
                      <w:rFonts w:ascii="宋体" w:hAnsi="宋体" w:eastAsia="宋体" w:cs="宋体"/>
                      <w:sz w:val="18"/>
                      <w:szCs w:val="18"/>
                    </w:rPr>
                  </w:pPr>
                  <w:r>
                    <w:rPr>
                      <w:rFonts w:hint="eastAsia" w:ascii="宋体" w:hAnsi="宋体" w:eastAsia="宋体" w:cs="宋体"/>
                      <w:sz w:val="18"/>
                      <w:szCs w:val="18"/>
                    </w:rPr>
                    <w:t>经济贸易模拟经营沙盘 (无统一型号规格)</w:t>
                  </w:r>
                </w:p>
              </w:tc>
              <w:tc>
                <w:tcPr>
                  <w:tcW w:w="2035" w:type="dxa"/>
                  <w:tcBorders>
                    <w:top w:val="single" w:color="auto" w:sz="4" w:space="0"/>
                    <w:left w:val="single" w:color="auto" w:sz="4" w:space="0"/>
                    <w:bottom w:val="single" w:color="auto" w:sz="4" w:space="0"/>
                    <w:right w:val="single" w:color="auto" w:sz="4" w:space="0"/>
                  </w:tcBorders>
                  <w:vAlign w:val="center"/>
                </w:tcPr>
                <w:p w14:paraId="778283D2">
                  <w:pPr>
                    <w:rPr>
                      <w:rFonts w:ascii="宋体" w:hAnsi="宋体" w:eastAsia="宋体" w:cs="宋体"/>
                      <w:sz w:val="18"/>
                      <w:szCs w:val="18"/>
                    </w:rPr>
                  </w:pPr>
                  <w:r>
                    <w:rPr>
                      <w:rFonts w:hint="eastAsia" w:ascii="宋体" w:hAnsi="宋体" w:eastAsia="宋体" w:cs="宋体"/>
                      <w:sz w:val="18"/>
                      <w:szCs w:val="18"/>
                    </w:rPr>
                    <w:t>国际贸易实验系统(无统一型号规格)</w:t>
                  </w:r>
                </w:p>
              </w:tc>
            </w:tr>
            <w:tr w14:paraId="38031F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4" w:hRule="atLeast"/>
                <w:jc w:val="center"/>
              </w:trPr>
              <w:tc>
                <w:tcPr>
                  <w:tcW w:w="1165" w:type="dxa"/>
                  <w:tcBorders>
                    <w:top w:val="single" w:color="auto" w:sz="4" w:space="0"/>
                    <w:left w:val="single" w:color="auto" w:sz="4" w:space="0"/>
                    <w:bottom w:val="single" w:color="auto" w:sz="4" w:space="0"/>
                    <w:right w:val="single" w:color="auto" w:sz="4" w:space="0"/>
                  </w:tcBorders>
                </w:tcPr>
                <w:p w14:paraId="5450608F">
                  <w:pPr>
                    <w:spacing w:line="90" w:lineRule="atLeast"/>
                    <w:jc w:val="center"/>
                    <w:rPr>
                      <w:rFonts w:ascii="宋体" w:hAnsi="宋体" w:eastAsia="宋体" w:cs="宋体"/>
                      <w:sz w:val="18"/>
                      <w:szCs w:val="18"/>
                    </w:rPr>
                  </w:pPr>
                  <w:r>
                    <w:rPr>
                      <w:rFonts w:hint="eastAsia" w:ascii="宋体" w:hAnsi="宋体" w:eastAsia="宋体" w:cs="宋体"/>
                      <w:sz w:val="18"/>
                      <w:szCs w:val="18"/>
                    </w:rPr>
                    <w:t>国别</w:t>
                  </w:r>
                </w:p>
              </w:tc>
              <w:tc>
                <w:tcPr>
                  <w:tcW w:w="1620" w:type="dxa"/>
                  <w:tcBorders>
                    <w:top w:val="single" w:color="auto" w:sz="4" w:space="0"/>
                    <w:left w:val="single" w:color="auto" w:sz="4" w:space="0"/>
                    <w:bottom w:val="single" w:color="auto" w:sz="4" w:space="0"/>
                    <w:right w:val="single" w:color="auto" w:sz="4" w:space="0"/>
                  </w:tcBorders>
                  <w:vAlign w:val="center"/>
                </w:tcPr>
                <w:p w14:paraId="2DD7CA78">
                  <w:pPr>
                    <w:rPr>
                      <w:rFonts w:ascii="宋体" w:hAnsi="宋体" w:eastAsia="宋体" w:cs="宋体"/>
                      <w:sz w:val="18"/>
                      <w:szCs w:val="18"/>
                    </w:rPr>
                  </w:pPr>
                  <w:r>
                    <w:rPr>
                      <w:rFonts w:hint="eastAsia" w:ascii="宋体" w:hAnsi="宋体" w:eastAsia="宋体" w:cs="宋体"/>
                      <w:sz w:val="18"/>
                      <w:szCs w:val="18"/>
                    </w:rPr>
                    <w:t> 中国</w:t>
                  </w:r>
                </w:p>
              </w:tc>
              <w:tc>
                <w:tcPr>
                  <w:tcW w:w="1618" w:type="dxa"/>
                  <w:tcBorders>
                    <w:top w:val="single" w:color="auto" w:sz="4" w:space="0"/>
                    <w:left w:val="single" w:color="auto" w:sz="4" w:space="0"/>
                    <w:bottom w:val="single" w:color="auto" w:sz="4" w:space="0"/>
                    <w:right w:val="single" w:color="auto" w:sz="4" w:space="0"/>
                  </w:tcBorders>
                  <w:vAlign w:val="center"/>
                </w:tcPr>
                <w:p w14:paraId="6BD1B05E">
                  <w:pPr>
                    <w:rPr>
                      <w:rFonts w:ascii="宋体" w:hAnsi="宋体" w:eastAsia="宋体" w:cs="宋体"/>
                      <w:sz w:val="18"/>
                      <w:szCs w:val="18"/>
                    </w:rPr>
                  </w:pPr>
                  <w:r>
                    <w:rPr>
                      <w:rFonts w:hint="eastAsia" w:ascii="宋体" w:hAnsi="宋体" w:eastAsia="宋体" w:cs="宋体"/>
                      <w:sz w:val="18"/>
                      <w:szCs w:val="18"/>
                    </w:rPr>
                    <w:t> 中国</w:t>
                  </w:r>
                </w:p>
              </w:tc>
              <w:tc>
                <w:tcPr>
                  <w:tcW w:w="2035" w:type="dxa"/>
                  <w:tcBorders>
                    <w:top w:val="single" w:color="auto" w:sz="4" w:space="0"/>
                    <w:left w:val="single" w:color="auto" w:sz="4" w:space="0"/>
                    <w:bottom w:val="single" w:color="auto" w:sz="4" w:space="0"/>
                    <w:right w:val="single" w:color="auto" w:sz="4" w:space="0"/>
                  </w:tcBorders>
                  <w:vAlign w:val="center"/>
                </w:tcPr>
                <w:p w14:paraId="143B3C50">
                  <w:pPr>
                    <w:rPr>
                      <w:rFonts w:ascii="宋体" w:hAnsi="宋体" w:eastAsia="宋体" w:cs="宋体"/>
                      <w:sz w:val="18"/>
                      <w:szCs w:val="18"/>
                    </w:rPr>
                  </w:pPr>
                  <w:r>
                    <w:rPr>
                      <w:rFonts w:hint="eastAsia" w:ascii="宋体" w:hAnsi="宋体" w:eastAsia="宋体" w:cs="宋体"/>
                      <w:sz w:val="18"/>
                      <w:szCs w:val="18"/>
                    </w:rPr>
                    <w:t> 中国</w:t>
                  </w:r>
                </w:p>
              </w:tc>
            </w:tr>
            <w:tr w14:paraId="0A3356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1165" w:type="dxa"/>
                  <w:tcBorders>
                    <w:top w:val="single" w:color="auto" w:sz="4" w:space="0"/>
                    <w:left w:val="single" w:color="auto" w:sz="4" w:space="0"/>
                    <w:bottom w:val="single" w:color="auto" w:sz="4" w:space="0"/>
                    <w:right w:val="single" w:color="auto" w:sz="4" w:space="0"/>
                  </w:tcBorders>
                </w:tcPr>
                <w:p w14:paraId="7BC2219B">
                  <w:pPr>
                    <w:spacing w:line="90" w:lineRule="atLeast"/>
                    <w:jc w:val="center"/>
                    <w:rPr>
                      <w:rFonts w:ascii="宋体" w:hAnsi="宋体" w:eastAsia="宋体" w:cs="宋体"/>
                      <w:sz w:val="18"/>
                      <w:szCs w:val="18"/>
                    </w:rPr>
                  </w:pPr>
                  <w:r>
                    <w:rPr>
                      <w:rFonts w:hint="eastAsia" w:ascii="宋体" w:hAnsi="宋体" w:eastAsia="宋体" w:cs="宋体"/>
                      <w:sz w:val="18"/>
                      <w:szCs w:val="18"/>
                    </w:rPr>
                    <w:t>厂商</w:t>
                  </w:r>
                </w:p>
              </w:tc>
              <w:tc>
                <w:tcPr>
                  <w:tcW w:w="1620" w:type="dxa"/>
                  <w:tcBorders>
                    <w:top w:val="single" w:color="auto" w:sz="4" w:space="0"/>
                    <w:left w:val="single" w:color="auto" w:sz="4" w:space="0"/>
                    <w:bottom w:val="single" w:color="auto" w:sz="4" w:space="0"/>
                    <w:right w:val="single" w:color="auto" w:sz="4" w:space="0"/>
                  </w:tcBorders>
                  <w:vAlign w:val="center"/>
                </w:tcPr>
                <w:p w14:paraId="264B6AFE">
                  <w:pPr>
                    <w:rPr>
                      <w:rFonts w:ascii="宋体" w:hAnsi="宋体" w:eastAsia="宋体" w:cs="宋体"/>
                      <w:sz w:val="18"/>
                      <w:szCs w:val="18"/>
                    </w:rPr>
                  </w:pPr>
                  <w:r>
                    <w:rPr>
                      <w:rFonts w:hint="eastAsia" w:ascii="宋体" w:hAnsi="宋体" w:eastAsia="宋体" w:cs="宋体"/>
                      <w:sz w:val="18"/>
                      <w:szCs w:val="18"/>
                    </w:rPr>
                    <w:t>成都杰科力科技有限公司</w:t>
                  </w:r>
                </w:p>
              </w:tc>
              <w:tc>
                <w:tcPr>
                  <w:tcW w:w="1618" w:type="dxa"/>
                  <w:tcBorders>
                    <w:top w:val="single" w:color="auto" w:sz="4" w:space="0"/>
                    <w:left w:val="single" w:color="auto" w:sz="4" w:space="0"/>
                    <w:bottom w:val="single" w:color="auto" w:sz="4" w:space="0"/>
                    <w:right w:val="single" w:color="auto" w:sz="4" w:space="0"/>
                  </w:tcBorders>
                  <w:vAlign w:val="center"/>
                </w:tcPr>
                <w:p w14:paraId="45933200">
                  <w:pPr>
                    <w:rPr>
                      <w:rFonts w:ascii="宋体" w:hAnsi="宋体" w:eastAsia="宋体" w:cs="宋体"/>
                      <w:sz w:val="18"/>
                      <w:szCs w:val="18"/>
                    </w:rPr>
                  </w:pPr>
                  <w:r>
                    <w:rPr>
                      <w:rFonts w:hint="eastAsia" w:ascii="宋体" w:hAnsi="宋体" w:eastAsia="宋体" w:cs="宋体"/>
                      <w:sz w:val="18"/>
                      <w:szCs w:val="18"/>
                    </w:rPr>
                    <w:t>成都大成弘毅科技有限公司</w:t>
                  </w:r>
                </w:p>
              </w:tc>
              <w:tc>
                <w:tcPr>
                  <w:tcW w:w="2035" w:type="dxa"/>
                  <w:tcBorders>
                    <w:top w:val="single" w:color="auto" w:sz="4" w:space="0"/>
                    <w:left w:val="single" w:color="auto" w:sz="4" w:space="0"/>
                    <w:bottom w:val="single" w:color="auto" w:sz="4" w:space="0"/>
                    <w:right w:val="single" w:color="auto" w:sz="4" w:space="0"/>
                  </w:tcBorders>
                  <w:vAlign w:val="center"/>
                </w:tcPr>
                <w:p w14:paraId="1E899963">
                  <w:pPr>
                    <w:rPr>
                      <w:rFonts w:ascii="宋体" w:hAnsi="宋体" w:eastAsia="宋体" w:cs="宋体"/>
                      <w:sz w:val="18"/>
                      <w:szCs w:val="18"/>
                    </w:rPr>
                  </w:pPr>
                  <w:r>
                    <w:rPr>
                      <w:rFonts w:hint="eastAsia" w:ascii="宋体" w:hAnsi="宋体" w:eastAsia="宋体" w:cs="宋体"/>
                      <w:sz w:val="18"/>
                      <w:szCs w:val="18"/>
                    </w:rPr>
                    <w:t> 成都慕课科技有限公司</w:t>
                  </w:r>
                </w:p>
              </w:tc>
            </w:tr>
            <w:tr w14:paraId="441889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2" w:hRule="atLeast"/>
                <w:jc w:val="center"/>
              </w:trPr>
              <w:tc>
                <w:tcPr>
                  <w:tcW w:w="1165" w:type="dxa"/>
                  <w:tcBorders>
                    <w:top w:val="single" w:color="auto" w:sz="4" w:space="0"/>
                    <w:left w:val="single" w:color="auto" w:sz="4" w:space="0"/>
                    <w:bottom w:val="single" w:color="auto" w:sz="4" w:space="0"/>
                    <w:right w:val="single" w:color="auto" w:sz="4" w:space="0"/>
                  </w:tcBorders>
                  <w:vAlign w:val="center"/>
                </w:tcPr>
                <w:p w14:paraId="6C34988E">
                  <w:pPr>
                    <w:snapToGrid w:val="0"/>
                    <w:spacing w:line="600" w:lineRule="exact"/>
                    <w:jc w:val="center"/>
                    <w:rPr>
                      <w:rFonts w:ascii="宋体" w:hAnsi="宋体" w:eastAsia="宋体" w:cs="宋体"/>
                      <w:sz w:val="18"/>
                      <w:szCs w:val="18"/>
                    </w:rPr>
                  </w:pPr>
                  <w:r>
                    <w:rPr>
                      <w:rFonts w:hint="eastAsia" w:ascii="宋体" w:hAnsi="宋体" w:eastAsia="宋体" w:cs="宋体"/>
                      <w:sz w:val="18"/>
                      <w:szCs w:val="18"/>
                    </w:rPr>
                    <w:t>技术</w:t>
                  </w:r>
                </w:p>
                <w:p w14:paraId="738678F8">
                  <w:pPr>
                    <w:snapToGrid w:val="0"/>
                    <w:spacing w:line="600" w:lineRule="exact"/>
                    <w:jc w:val="center"/>
                    <w:rPr>
                      <w:rFonts w:ascii="宋体" w:hAnsi="宋体" w:eastAsia="宋体" w:cs="宋体"/>
                      <w:sz w:val="18"/>
                      <w:szCs w:val="18"/>
                    </w:rPr>
                  </w:pPr>
                  <w:r>
                    <w:rPr>
                      <w:rFonts w:hint="eastAsia" w:ascii="宋体" w:hAnsi="宋体" w:eastAsia="宋体" w:cs="宋体"/>
                      <w:sz w:val="18"/>
                      <w:szCs w:val="18"/>
                    </w:rPr>
                    <w:t>要求</w:t>
                  </w:r>
                </w:p>
              </w:tc>
              <w:tc>
                <w:tcPr>
                  <w:tcW w:w="1620" w:type="dxa"/>
                  <w:tcBorders>
                    <w:top w:val="single" w:color="auto" w:sz="4" w:space="0"/>
                    <w:left w:val="single" w:color="auto" w:sz="4" w:space="0"/>
                    <w:bottom w:val="single" w:color="auto" w:sz="4" w:space="0"/>
                    <w:right w:val="single" w:color="auto" w:sz="4" w:space="0"/>
                  </w:tcBorders>
                  <w:vAlign w:val="center"/>
                </w:tcPr>
                <w:p w14:paraId="2E30890F">
                  <w:pPr>
                    <w:rPr>
                      <w:rFonts w:ascii="宋体" w:hAnsi="宋体" w:eastAsia="宋体" w:cs="宋体"/>
                      <w:sz w:val="18"/>
                      <w:szCs w:val="18"/>
                    </w:rPr>
                  </w:pPr>
                  <w:r>
                    <w:rPr>
                      <w:rFonts w:hint="eastAsia" w:ascii="宋体" w:hAnsi="宋体" w:eastAsia="宋体" w:cs="宋体"/>
                      <w:sz w:val="18"/>
                      <w:szCs w:val="18"/>
                    </w:rPr>
                    <w:t>服务器：Windows 2003/2008； office2003办公软件</w:t>
                  </w:r>
                </w:p>
              </w:tc>
              <w:tc>
                <w:tcPr>
                  <w:tcW w:w="1618" w:type="dxa"/>
                  <w:tcBorders>
                    <w:top w:val="single" w:color="auto" w:sz="4" w:space="0"/>
                    <w:left w:val="single" w:color="auto" w:sz="4" w:space="0"/>
                    <w:bottom w:val="single" w:color="auto" w:sz="4" w:space="0"/>
                    <w:right w:val="single" w:color="auto" w:sz="4" w:space="0"/>
                  </w:tcBorders>
                  <w:vAlign w:val="center"/>
                </w:tcPr>
                <w:p w14:paraId="3BB0E4E7">
                  <w:pPr>
                    <w:rPr>
                      <w:rFonts w:ascii="宋体" w:hAnsi="宋体" w:eastAsia="宋体" w:cs="宋体"/>
                      <w:sz w:val="18"/>
                      <w:szCs w:val="18"/>
                    </w:rPr>
                  </w:pPr>
                  <w:r>
                    <w:rPr>
                      <w:rFonts w:hint="eastAsia" w:ascii="宋体" w:hAnsi="宋体" w:eastAsia="宋体" w:cs="宋体"/>
                      <w:sz w:val="18"/>
                      <w:szCs w:val="18"/>
                    </w:rPr>
                    <w:t>服务器内存4G以上，操作系统Windows  2003，硬盘 250G ， CPU 8核或以上，学生端使用IE8浏览器。</w:t>
                  </w:r>
                </w:p>
              </w:tc>
              <w:tc>
                <w:tcPr>
                  <w:tcW w:w="2035" w:type="dxa"/>
                  <w:tcBorders>
                    <w:top w:val="single" w:color="auto" w:sz="4" w:space="0"/>
                    <w:left w:val="single" w:color="auto" w:sz="4" w:space="0"/>
                    <w:bottom w:val="single" w:color="auto" w:sz="4" w:space="0"/>
                    <w:right w:val="single" w:color="auto" w:sz="4" w:space="0"/>
                  </w:tcBorders>
                  <w:vAlign w:val="center"/>
                </w:tcPr>
                <w:p w14:paraId="2840D348">
                  <w:pPr>
                    <w:rPr>
                      <w:rFonts w:ascii="宋体" w:hAnsi="宋体" w:eastAsia="宋体" w:cs="宋体"/>
                      <w:sz w:val="18"/>
                      <w:szCs w:val="18"/>
                    </w:rPr>
                  </w:pPr>
                  <w:r>
                    <w:rPr>
                      <w:rFonts w:hint="eastAsia" w:ascii="宋体" w:hAnsi="宋体" w:eastAsia="宋体" w:cs="宋体"/>
                      <w:sz w:val="18"/>
                      <w:szCs w:val="18"/>
                    </w:rPr>
                    <w:t xml:space="preserve"> 服务器：Windows 2003/2008；SQL Server2005/2008；NET Framwork 4.0；IIS6.0/7.0 </w:t>
                  </w:r>
                </w:p>
              </w:tc>
            </w:tr>
            <w:tr w14:paraId="75A7B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38" w:hRule="atLeast"/>
                <w:jc w:val="center"/>
              </w:trPr>
              <w:tc>
                <w:tcPr>
                  <w:tcW w:w="1165" w:type="dxa"/>
                  <w:tcBorders>
                    <w:top w:val="single" w:color="auto" w:sz="4" w:space="0"/>
                    <w:left w:val="single" w:color="auto" w:sz="4" w:space="0"/>
                    <w:bottom w:val="single" w:color="auto" w:sz="4" w:space="0"/>
                    <w:right w:val="single" w:color="auto" w:sz="4" w:space="0"/>
                  </w:tcBorders>
                  <w:vAlign w:val="center"/>
                </w:tcPr>
                <w:p w14:paraId="6FC15765">
                  <w:pPr>
                    <w:snapToGrid w:val="0"/>
                    <w:spacing w:line="400" w:lineRule="exact"/>
                    <w:jc w:val="center"/>
                    <w:rPr>
                      <w:rFonts w:ascii="宋体" w:hAnsi="宋体" w:eastAsia="宋体" w:cs="宋体"/>
                      <w:sz w:val="18"/>
                      <w:szCs w:val="18"/>
                    </w:rPr>
                  </w:pPr>
                  <w:r>
                    <w:rPr>
                      <w:rFonts w:hint="eastAsia" w:ascii="宋体" w:hAnsi="宋体" w:eastAsia="宋体" w:cs="宋体"/>
                      <w:sz w:val="18"/>
                      <w:szCs w:val="18"/>
                    </w:rPr>
                    <w:t>主</w:t>
                  </w:r>
                </w:p>
                <w:p w14:paraId="643FB4D8">
                  <w:pPr>
                    <w:snapToGrid w:val="0"/>
                    <w:spacing w:line="400" w:lineRule="exact"/>
                    <w:jc w:val="center"/>
                    <w:rPr>
                      <w:rFonts w:ascii="宋体" w:hAnsi="宋体" w:eastAsia="宋体" w:cs="宋体"/>
                      <w:sz w:val="18"/>
                      <w:szCs w:val="18"/>
                    </w:rPr>
                  </w:pPr>
                  <w:r>
                    <w:rPr>
                      <w:rFonts w:hint="eastAsia" w:ascii="宋体" w:hAnsi="宋体" w:eastAsia="宋体" w:cs="宋体"/>
                      <w:sz w:val="18"/>
                      <w:szCs w:val="18"/>
                    </w:rPr>
                    <w:t>要</w:t>
                  </w:r>
                </w:p>
                <w:p w14:paraId="37BD4117">
                  <w:pPr>
                    <w:snapToGrid w:val="0"/>
                    <w:spacing w:line="400" w:lineRule="exact"/>
                    <w:jc w:val="center"/>
                    <w:rPr>
                      <w:rFonts w:ascii="宋体" w:hAnsi="宋体" w:eastAsia="宋体" w:cs="宋体"/>
                      <w:sz w:val="18"/>
                      <w:szCs w:val="18"/>
                    </w:rPr>
                  </w:pPr>
                  <w:r>
                    <w:rPr>
                      <w:rFonts w:hint="eastAsia" w:ascii="宋体" w:hAnsi="宋体" w:eastAsia="宋体" w:cs="宋体"/>
                      <w:sz w:val="18"/>
                      <w:szCs w:val="18"/>
                    </w:rPr>
                    <w:t>功</w:t>
                  </w:r>
                </w:p>
                <w:p w14:paraId="510FFD56">
                  <w:pPr>
                    <w:snapToGrid w:val="0"/>
                    <w:spacing w:line="400" w:lineRule="exact"/>
                    <w:jc w:val="center"/>
                    <w:rPr>
                      <w:rFonts w:ascii="宋体" w:hAnsi="宋体" w:eastAsia="宋体" w:cs="宋体"/>
                      <w:sz w:val="18"/>
                      <w:szCs w:val="18"/>
                    </w:rPr>
                  </w:pPr>
                  <w:r>
                    <w:rPr>
                      <w:rFonts w:hint="eastAsia" w:ascii="宋体" w:hAnsi="宋体" w:eastAsia="宋体" w:cs="宋体"/>
                      <w:sz w:val="18"/>
                      <w:szCs w:val="18"/>
                    </w:rPr>
                    <w:t>能</w:t>
                  </w:r>
                </w:p>
              </w:tc>
              <w:tc>
                <w:tcPr>
                  <w:tcW w:w="1620" w:type="dxa"/>
                  <w:tcBorders>
                    <w:top w:val="single" w:color="auto" w:sz="4" w:space="0"/>
                    <w:left w:val="single" w:color="auto" w:sz="4" w:space="0"/>
                    <w:bottom w:val="single" w:color="auto" w:sz="4" w:space="0"/>
                    <w:right w:val="single" w:color="auto" w:sz="4" w:space="0"/>
                  </w:tcBorders>
                  <w:vAlign w:val="center"/>
                </w:tcPr>
                <w:p w14:paraId="394408DF">
                  <w:pPr>
                    <w:jc w:val="left"/>
                    <w:rPr>
                      <w:rFonts w:ascii="宋体" w:hAnsi="宋体" w:eastAsia="宋体" w:cs="宋体"/>
                      <w:sz w:val="18"/>
                      <w:szCs w:val="18"/>
                    </w:rPr>
                  </w:pPr>
                  <w:r>
                    <w:rPr>
                      <w:rFonts w:hint="eastAsia" w:ascii="宋体" w:hAnsi="宋体" w:eastAsia="宋体" w:cs="宋体"/>
                      <w:sz w:val="18"/>
                      <w:szCs w:val="18"/>
                    </w:rPr>
                    <w:t>通过为学生创造一个接近现实的教学环境模拟国际经济与贸易，引导学员结合现实案例反思国际经济与贸易中的现象，如贸易战、金融战、科技战等，并指导整理出案例，为教师提供多种辅助教学手段，提高学生的专业水平和社会实践能力，争取更大的就业机会。</w:t>
                  </w:r>
                </w:p>
              </w:tc>
              <w:tc>
                <w:tcPr>
                  <w:tcW w:w="1618" w:type="dxa"/>
                  <w:tcBorders>
                    <w:top w:val="single" w:color="auto" w:sz="4" w:space="0"/>
                    <w:left w:val="single" w:color="auto" w:sz="4" w:space="0"/>
                    <w:bottom w:val="single" w:color="auto" w:sz="4" w:space="0"/>
                    <w:right w:val="single" w:color="auto" w:sz="4" w:space="0"/>
                  </w:tcBorders>
                  <w:vAlign w:val="center"/>
                </w:tcPr>
                <w:p w14:paraId="07B3314C">
                  <w:pPr>
                    <w:jc w:val="left"/>
                    <w:rPr>
                      <w:rFonts w:ascii="宋体" w:hAnsi="宋体" w:eastAsia="宋体" w:cs="宋体"/>
                      <w:sz w:val="18"/>
                      <w:szCs w:val="18"/>
                    </w:rPr>
                  </w:pPr>
                  <w:r>
                    <w:rPr>
                      <w:rFonts w:hint="eastAsia" w:ascii="宋体" w:hAnsi="宋体" w:eastAsia="宋体" w:cs="宋体"/>
                      <w:sz w:val="18"/>
                      <w:szCs w:val="18"/>
                    </w:rPr>
                    <w:t>通过游戏体验经济贸易的各知识点，让每个学员都有针对性的收获。</w:t>
                  </w:r>
                </w:p>
              </w:tc>
              <w:tc>
                <w:tcPr>
                  <w:tcW w:w="2035" w:type="dxa"/>
                  <w:tcBorders>
                    <w:top w:val="single" w:color="auto" w:sz="4" w:space="0"/>
                    <w:left w:val="single" w:color="auto" w:sz="4" w:space="0"/>
                    <w:bottom w:val="single" w:color="auto" w:sz="4" w:space="0"/>
                    <w:right w:val="single" w:color="auto" w:sz="4" w:space="0"/>
                  </w:tcBorders>
                  <w:vAlign w:val="center"/>
                </w:tcPr>
                <w:p w14:paraId="45CC87E5">
                  <w:pPr>
                    <w:jc w:val="left"/>
                    <w:rPr>
                      <w:rFonts w:ascii="宋体" w:hAnsi="宋体" w:eastAsia="宋体" w:cs="宋体"/>
                      <w:sz w:val="18"/>
                      <w:szCs w:val="18"/>
                    </w:rPr>
                  </w:pPr>
                  <w:r>
                    <w:rPr>
                      <w:rFonts w:hint="eastAsia" w:ascii="宋体" w:hAnsi="宋体" w:eastAsia="宋体" w:cs="宋体"/>
                      <w:sz w:val="18"/>
                      <w:szCs w:val="18"/>
                    </w:rPr>
                    <w:t>通过模拟不同国家不同行业的厂商及政府在不同情况下的具体决策，让学生学会国际贸易的知识。</w:t>
                  </w:r>
                </w:p>
              </w:tc>
            </w:tr>
            <w:tr w14:paraId="3A91A1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1165" w:type="dxa"/>
                  <w:tcBorders>
                    <w:top w:val="single" w:color="auto" w:sz="4" w:space="0"/>
                    <w:left w:val="single" w:color="auto" w:sz="4" w:space="0"/>
                    <w:bottom w:val="single" w:color="auto" w:sz="4" w:space="0"/>
                    <w:right w:val="single" w:color="auto" w:sz="4" w:space="0"/>
                  </w:tcBorders>
                  <w:vAlign w:val="center"/>
                </w:tcPr>
                <w:p w14:paraId="2042BADE">
                  <w:pPr>
                    <w:jc w:val="center"/>
                    <w:rPr>
                      <w:rFonts w:ascii="宋体" w:hAnsi="宋体" w:eastAsia="宋体" w:cs="宋体"/>
                      <w:sz w:val="18"/>
                      <w:szCs w:val="18"/>
                    </w:rPr>
                  </w:pPr>
                  <w:r>
                    <w:rPr>
                      <w:rFonts w:hint="eastAsia" w:ascii="宋体" w:hAnsi="宋体" w:eastAsia="宋体" w:cs="宋体"/>
                      <w:sz w:val="18"/>
                      <w:szCs w:val="18"/>
                    </w:rPr>
                    <w:t>应用范围</w:t>
                  </w:r>
                </w:p>
              </w:tc>
              <w:tc>
                <w:tcPr>
                  <w:tcW w:w="1620" w:type="dxa"/>
                  <w:tcBorders>
                    <w:top w:val="single" w:color="auto" w:sz="4" w:space="0"/>
                    <w:left w:val="single" w:color="auto" w:sz="4" w:space="0"/>
                    <w:bottom w:val="single" w:color="auto" w:sz="4" w:space="0"/>
                    <w:right w:val="single" w:color="auto" w:sz="4" w:space="0"/>
                  </w:tcBorders>
                  <w:vAlign w:val="center"/>
                </w:tcPr>
                <w:p w14:paraId="5A382265">
                  <w:pPr>
                    <w:jc w:val="left"/>
                    <w:rPr>
                      <w:rFonts w:ascii="宋体" w:hAnsi="宋体" w:eastAsia="宋体" w:cs="宋体"/>
                      <w:sz w:val="18"/>
                      <w:szCs w:val="18"/>
                    </w:rPr>
                  </w:pPr>
                  <w:r>
                    <w:rPr>
                      <w:rFonts w:hint="eastAsia" w:ascii="宋体" w:hAnsi="宋体" w:eastAsia="宋体" w:cs="宋体"/>
                      <w:sz w:val="18"/>
                      <w:szCs w:val="18"/>
                    </w:rPr>
                    <w:t>本科生（含一本、二本）</w:t>
                  </w:r>
                </w:p>
              </w:tc>
              <w:tc>
                <w:tcPr>
                  <w:tcW w:w="1618" w:type="dxa"/>
                  <w:tcBorders>
                    <w:top w:val="single" w:color="auto" w:sz="4" w:space="0"/>
                    <w:left w:val="single" w:color="auto" w:sz="4" w:space="0"/>
                    <w:bottom w:val="single" w:color="auto" w:sz="4" w:space="0"/>
                    <w:right w:val="single" w:color="auto" w:sz="4" w:space="0"/>
                  </w:tcBorders>
                  <w:vAlign w:val="center"/>
                </w:tcPr>
                <w:p w14:paraId="766105CF">
                  <w:pPr>
                    <w:jc w:val="left"/>
                    <w:rPr>
                      <w:rFonts w:ascii="宋体" w:hAnsi="宋体" w:eastAsia="宋体" w:cs="宋体"/>
                      <w:sz w:val="18"/>
                      <w:szCs w:val="18"/>
                    </w:rPr>
                  </w:pPr>
                  <w:r>
                    <w:rPr>
                      <w:rFonts w:hint="eastAsia" w:ascii="宋体" w:hAnsi="宋体" w:eastAsia="宋体" w:cs="宋体"/>
                      <w:sz w:val="18"/>
                      <w:szCs w:val="18"/>
                    </w:rPr>
                    <w:t>专科生、本科生（三本）</w:t>
                  </w:r>
                </w:p>
              </w:tc>
              <w:tc>
                <w:tcPr>
                  <w:tcW w:w="2035" w:type="dxa"/>
                  <w:tcBorders>
                    <w:top w:val="single" w:color="auto" w:sz="4" w:space="0"/>
                    <w:left w:val="single" w:color="auto" w:sz="4" w:space="0"/>
                    <w:bottom w:val="single" w:color="auto" w:sz="4" w:space="0"/>
                    <w:right w:val="single" w:color="auto" w:sz="4" w:space="0"/>
                  </w:tcBorders>
                  <w:vAlign w:val="center"/>
                </w:tcPr>
                <w:p w14:paraId="0EDEF5D9">
                  <w:pPr>
                    <w:jc w:val="left"/>
                    <w:rPr>
                      <w:rFonts w:ascii="宋体" w:hAnsi="宋体" w:eastAsia="宋体" w:cs="宋体"/>
                      <w:sz w:val="18"/>
                      <w:szCs w:val="18"/>
                    </w:rPr>
                  </w:pPr>
                  <w:r>
                    <w:rPr>
                      <w:rFonts w:hint="eastAsia" w:ascii="宋体" w:hAnsi="宋体" w:eastAsia="宋体" w:cs="宋体"/>
                      <w:sz w:val="18"/>
                      <w:szCs w:val="18"/>
                    </w:rPr>
                    <w:t>研究生</w:t>
                  </w:r>
                </w:p>
              </w:tc>
            </w:tr>
            <w:tr w14:paraId="617564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165" w:type="dxa"/>
                  <w:tcBorders>
                    <w:top w:val="single" w:color="auto" w:sz="4" w:space="0"/>
                    <w:left w:val="single" w:color="auto" w:sz="4" w:space="0"/>
                    <w:bottom w:val="single" w:color="auto" w:sz="4" w:space="0"/>
                    <w:right w:val="single" w:color="auto" w:sz="4" w:space="0"/>
                  </w:tcBorders>
                  <w:vAlign w:val="center"/>
                </w:tcPr>
                <w:p w14:paraId="0FE95664">
                  <w:pPr>
                    <w:snapToGrid w:val="0"/>
                    <w:spacing w:line="360" w:lineRule="auto"/>
                    <w:jc w:val="center"/>
                    <w:rPr>
                      <w:rFonts w:ascii="宋体" w:hAnsi="宋体" w:eastAsia="宋体" w:cs="宋体"/>
                      <w:sz w:val="18"/>
                      <w:szCs w:val="18"/>
                    </w:rPr>
                  </w:pPr>
                  <w:r>
                    <w:rPr>
                      <w:rFonts w:hint="eastAsia" w:ascii="宋体" w:hAnsi="宋体" w:eastAsia="宋体" w:cs="宋体"/>
                      <w:sz w:val="18"/>
                      <w:szCs w:val="18"/>
                    </w:rPr>
                    <w:t>售后</w:t>
                  </w:r>
                </w:p>
                <w:p w14:paraId="420E55FE">
                  <w:pPr>
                    <w:snapToGrid w:val="0"/>
                    <w:spacing w:line="360" w:lineRule="auto"/>
                    <w:jc w:val="center"/>
                    <w:rPr>
                      <w:rFonts w:ascii="宋体" w:hAnsi="宋体" w:eastAsia="宋体" w:cs="宋体"/>
                      <w:sz w:val="18"/>
                      <w:szCs w:val="18"/>
                    </w:rPr>
                  </w:pPr>
                  <w:r>
                    <w:rPr>
                      <w:rFonts w:hint="eastAsia" w:ascii="宋体" w:hAnsi="宋体" w:eastAsia="宋体" w:cs="宋体"/>
                      <w:sz w:val="18"/>
                      <w:szCs w:val="18"/>
                    </w:rPr>
                    <w:t>服务</w:t>
                  </w:r>
                </w:p>
              </w:tc>
              <w:tc>
                <w:tcPr>
                  <w:tcW w:w="1620" w:type="dxa"/>
                  <w:tcBorders>
                    <w:top w:val="single" w:color="auto" w:sz="4" w:space="0"/>
                    <w:left w:val="single" w:color="auto" w:sz="4" w:space="0"/>
                    <w:bottom w:val="single" w:color="auto" w:sz="4" w:space="0"/>
                    <w:right w:val="single" w:color="auto" w:sz="4" w:space="0"/>
                  </w:tcBorders>
                  <w:vAlign w:val="center"/>
                </w:tcPr>
                <w:p w14:paraId="45979167">
                  <w:pPr>
                    <w:jc w:val="left"/>
                    <w:rPr>
                      <w:rFonts w:ascii="宋体" w:hAnsi="宋体" w:eastAsia="宋体" w:cs="宋体"/>
                      <w:sz w:val="18"/>
                      <w:szCs w:val="18"/>
                    </w:rPr>
                  </w:pPr>
                  <w:r>
                    <w:rPr>
                      <w:rFonts w:hint="eastAsia" w:ascii="宋体" w:hAnsi="宋体" w:eastAsia="宋体" w:cs="宋体"/>
                      <w:sz w:val="18"/>
                      <w:szCs w:val="18"/>
                    </w:rPr>
                    <w:t xml:space="preserve">3年质保期和免费升级服务 </w:t>
                  </w:r>
                </w:p>
              </w:tc>
              <w:tc>
                <w:tcPr>
                  <w:tcW w:w="1618" w:type="dxa"/>
                  <w:tcBorders>
                    <w:top w:val="single" w:color="auto" w:sz="4" w:space="0"/>
                    <w:left w:val="single" w:color="auto" w:sz="4" w:space="0"/>
                    <w:bottom w:val="single" w:color="auto" w:sz="4" w:space="0"/>
                    <w:right w:val="single" w:color="auto" w:sz="4" w:space="0"/>
                  </w:tcBorders>
                  <w:vAlign w:val="center"/>
                </w:tcPr>
                <w:p w14:paraId="0DD48EEA">
                  <w:pPr>
                    <w:jc w:val="left"/>
                    <w:rPr>
                      <w:rFonts w:ascii="宋体" w:hAnsi="宋体" w:eastAsia="宋体" w:cs="宋体"/>
                      <w:sz w:val="18"/>
                      <w:szCs w:val="18"/>
                    </w:rPr>
                  </w:pPr>
                  <w:r>
                    <w:rPr>
                      <w:rFonts w:hint="eastAsia" w:ascii="宋体" w:hAnsi="宋体" w:eastAsia="宋体" w:cs="宋体"/>
                      <w:sz w:val="18"/>
                      <w:szCs w:val="18"/>
                    </w:rPr>
                    <w:t>3年质保期和免费升级服务</w:t>
                  </w:r>
                </w:p>
              </w:tc>
              <w:tc>
                <w:tcPr>
                  <w:tcW w:w="2035" w:type="dxa"/>
                  <w:tcBorders>
                    <w:top w:val="single" w:color="auto" w:sz="4" w:space="0"/>
                    <w:left w:val="single" w:color="auto" w:sz="4" w:space="0"/>
                    <w:bottom w:val="single" w:color="auto" w:sz="4" w:space="0"/>
                    <w:right w:val="single" w:color="auto" w:sz="4" w:space="0"/>
                  </w:tcBorders>
                  <w:vAlign w:val="center"/>
                </w:tcPr>
                <w:p w14:paraId="03CBC1E7">
                  <w:pPr>
                    <w:jc w:val="left"/>
                    <w:rPr>
                      <w:rFonts w:ascii="宋体" w:hAnsi="宋体" w:eastAsia="宋体" w:cs="宋体"/>
                      <w:sz w:val="18"/>
                      <w:szCs w:val="18"/>
                    </w:rPr>
                  </w:pPr>
                  <w:r>
                    <w:rPr>
                      <w:rFonts w:hint="eastAsia" w:ascii="宋体" w:hAnsi="宋体" w:eastAsia="宋体" w:cs="宋体"/>
                      <w:sz w:val="18"/>
                      <w:szCs w:val="18"/>
                    </w:rPr>
                    <w:t>3年质保期和免费升级服务</w:t>
                  </w:r>
                </w:p>
              </w:tc>
            </w:tr>
          </w:tbl>
          <w:p w14:paraId="503BD2F5">
            <w:pPr>
              <w:numPr>
                <w:ilvl w:val="4"/>
                <w:numId w:val="6"/>
              </w:numPr>
              <w:rPr>
                <w:rFonts w:ascii="宋体" w:hAnsi="宋体" w:eastAsia="宋体" w:cs="宋体"/>
                <w:szCs w:val="21"/>
                <w:lang w:bidi="ar"/>
              </w:rPr>
            </w:pPr>
            <w:r>
              <w:rPr>
                <w:rFonts w:hint="eastAsia" w:ascii="宋体" w:hAnsi="宋体" w:eastAsia="宋体" w:cs="宋体"/>
                <w:szCs w:val="21"/>
                <w:lang w:bidi="ar"/>
              </w:rPr>
              <w:t>其他院校反馈（学校反馈）</w:t>
            </w:r>
          </w:p>
          <w:p w14:paraId="6B81E7A4">
            <w:pPr>
              <w:numPr>
                <w:ilvl w:val="0"/>
                <w:numId w:val="7"/>
              </w:numPr>
              <w:rPr>
                <w:rFonts w:ascii="宋体" w:hAnsi="宋体" w:eastAsia="宋体" w:cs="宋体"/>
                <w:szCs w:val="21"/>
                <w:lang w:bidi="ar"/>
              </w:rPr>
            </w:pPr>
            <w:r>
              <w:rPr>
                <w:rFonts w:hint="eastAsia" w:ascii="宋体" w:hAnsi="宋体" w:eastAsia="宋体" w:cs="宋体"/>
                <w:szCs w:val="21"/>
                <w:lang w:bidi="ar"/>
              </w:rPr>
              <w:t>全面落实学院“应用型人才”培养，提供符合市场需求的应用型人才培养教学内容。</w:t>
            </w:r>
          </w:p>
          <w:p w14:paraId="1CB73356">
            <w:pPr>
              <w:numPr>
                <w:ilvl w:val="0"/>
                <w:numId w:val="7"/>
              </w:numPr>
              <w:rPr>
                <w:rFonts w:ascii="宋体" w:hAnsi="宋体" w:eastAsia="宋体" w:cs="宋体"/>
                <w:szCs w:val="21"/>
                <w:lang w:bidi="ar"/>
              </w:rPr>
            </w:pPr>
            <w:r>
              <w:rPr>
                <w:rFonts w:hint="eastAsia" w:ascii="宋体" w:hAnsi="宋体" w:eastAsia="宋体" w:cs="宋体"/>
                <w:szCs w:val="21"/>
                <w:lang w:bidi="ar"/>
              </w:rPr>
              <w:t>填补国际经济学课程的实训空白</w:t>
            </w:r>
          </w:p>
          <w:p w14:paraId="1B3282C5">
            <w:pPr>
              <w:numPr>
                <w:ilvl w:val="0"/>
                <w:numId w:val="7"/>
              </w:numPr>
              <w:rPr>
                <w:rFonts w:ascii="宋体" w:hAnsi="宋体" w:eastAsia="宋体" w:cs="宋体"/>
                <w:szCs w:val="21"/>
                <w:lang w:bidi="ar"/>
              </w:rPr>
            </w:pPr>
            <w:r>
              <w:rPr>
                <w:rFonts w:hint="eastAsia" w:ascii="宋体" w:hAnsi="宋体" w:eastAsia="宋体" w:cs="宋体"/>
                <w:szCs w:val="21"/>
                <w:lang w:bidi="ar"/>
              </w:rPr>
              <w:t>为学院申报各项教学成果打下基础</w:t>
            </w:r>
          </w:p>
          <w:p w14:paraId="697A9C20">
            <w:pPr>
              <w:numPr>
                <w:ilvl w:val="0"/>
                <w:numId w:val="7"/>
              </w:numPr>
              <w:rPr>
                <w:rFonts w:ascii="宋体" w:hAnsi="宋体" w:eastAsia="宋体" w:cs="宋体"/>
                <w:szCs w:val="21"/>
                <w:lang w:bidi="ar"/>
              </w:rPr>
            </w:pPr>
            <w:r>
              <w:rPr>
                <w:rFonts w:hint="eastAsia" w:ascii="宋体" w:hAnsi="宋体" w:eastAsia="宋体" w:cs="宋体"/>
                <w:szCs w:val="21"/>
                <w:lang w:bidi="ar"/>
              </w:rPr>
              <w:t>售后服务支持包括金牌教师发展支持、省级国家级教改项目申报支持、省级国家级实验示范中心申报支持、省级国家级示范院校建设申报支持、特色专业/新增专业申报、实训实验基地建设支持、教学成果申报支持、教材出版支持。</w:t>
            </w:r>
          </w:p>
          <w:p w14:paraId="5FD6F9EE">
            <w:pPr>
              <w:numPr>
                <w:ilvl w:val="4"/>
                <w:numId w:val="6"/>
              </w:numPr>
              <w:rPr>
                <w:rFonts w:ascii="宋体" w:hAnsi="宋体" w:eastAsia="宋体" w:cs="宋体"/>
                <w:szCs w:val="21"/>
                <w:lang w:bidi="ar"/>
              </w:rPr>
            </w:pPr>
            <w:r>
              <w:rPr>
                <w:rFonts w:hint="eastAsia" w:ascii="宋体" w:hAnsi="宋体" w:eastAsia="宋体" w:cs="宋体"/>
                <w:szCs w:val="21"/>
                <w:lang w:bidi="ar"/>
              </w:rPr>
              <w:t>其他院校反馈（学员反馈）</w:t>
            </w:r>
          </w:p>
          <w:p w14:paraId="13DCC1B1">
            <w:pPr>
              <w:ind w:firstLine="420" w:firstLineChars="200"/>
              <w:rPr>
                <w:rFonts w:ascii="宋体" w:hAnsi="宋体" w:eastAsia="宋体" w:cs="宋体"/>
                <w:szCs w:val="21"/>
                <w:lang w:bidi="ar"/>
              </w:rPr>
            </w:pPr>
            <w:r>
              <w:rPr>
                <w:rFonts w:hint="eastAsia" w:ascii="宋体" w:hAnsi="宋体" w:eastAsia="宋体" w:cs="宋体"/>
                <w:szCs w:val="21"/>
                <w:lang w:bidi="ar"/>
              </w:rPr>
              <w:t>“两天的实战，是团队与团队的打拼，团队成员一个都不能少，因为各部门职责太重要了，它让我们知道团队精神与团队合作的重要性，包括与其他企业的合作、双赢，在危机中如何化险为夷，想尽一切办法！</w:t>
            </w:r>
          </w:p>
          <w:p w14:paraId="2A0B8AC0">
            <w:pPr>
              <w:ind w:firstLine="420" w:firstLineChars="200"/>
              <w:rPr>
                <w:rFonts w:ascii="宋体" w:hAnsi="宋体" w:eastAsia="宋体" w:cs="宋体"/>
                <w:szCs w:val="21"/>
                <w:lang w:bidi="ar"/>
              </w:rPr>
            </w:pPr>
            <w:r>
              <w:rPr>
                <w:rFonts w:hint="eastAsia" w:ascii="宋体" w:hAnsi="宋体" w:eastAsia="宋体" w:cs="宋体"/>
                <w:szCs w:val="21"/>
                <w:lang w:bidi="ar"/>
              </w:rPr>
              <w:t>每一次体验，都是一次成长，一次知识的洗礼！以前认为学校学到的知识肯定用不上，这一次彻底改变了......这次实训课程将成为大学里永远的回忆！”</w:t>
            </w:r>
          </w:p>
          <w:p w14:paraId="141088D0">
            <w:pPr>
              <w:numPr>
                <w:ilvl w:val="4"/>
                <w:numId w:val="6"/>
              </w:numPr>
              <w:rPr>
                <w:rFonts w:ascii="宋体" w:hAnsi="宋体" w:eastAsia="宋体" w:cs="宋体"/>
                <w:szCs w:val="21"/>
                <w:lang w:bidi="ar"/>
              </w:rPr>
            </w:pPr>
            <w:r>
              <w:rPr>
                <w:rFonts w:hint="eastAsia" w:ascii="宋体" w:hAnsi="宋体" w:eastAsia="宋体" w:cs="宋体"/>
                <w:szCs w:val="21"/>
                <w:lang w:bidi="ar"/>
              </w:rPr>
              <w:t>师资培训</w:t>
            </w:r>
          </w:p>
          <w:p w14:paraId="79153B87">
            <w:pPr>
              <w:ind w:firstLine="420" w:firstLineChars="200"/>
              <w:rPr>
                <w:rFonts w:ascii="宋体" w:hAnsi="宋体" w:eastAsia="宋体" w:cs="宋体"/>
                <w:bCs/>
                <w:szCs w:val="21"/>
              </w:rPr>
            </w:pPr>
            <w:r>
              <w:rPr>
                <w:rFonts w:hint="eastAsia" w:ascii="宋体" w:hAnsi="宋体" w:eastAsia="宋体" w:cs="宋体"/>
                <w:bCs/>
                <w:szCs w:val="21"/>
              </w:rPr>
              <w:t>该产品将不定期在全国范围举办了多场免费的师资培训会。往期师资培训会参与老师超过1000名，参与学校超过200所，与会老师反馈效果良好。</w:t>
            </w:r>
          </w:p>
          <w:p w14:paraId="3B346844">
            <w:pPr>
              <w:numPr>
                <w:ilvl w:val="3"/>
                <w:numId w:val="5"/>
              </w:numPr>
              <w:rPr>
                <w:rFonts w:ascii="宋体" w:hAnsi="宋体" w:eastAsia="宋体" w:cs="宋体"/>
                <w:b/>
                <w:bCs/>
                <w:szCs w:val="21"/>
                <w:lang w:bidi="ar"/>
              </w:rPr>
            </w:pPr>
            <w:r>
              <w:rPr>
                <w:rFonts w:hint="eastAsia" w:ascii="宋体" w:hAnsi="宋体" w:eastAsia="宋体" w:cs="宋体"/>
                <w:b/>
                <w:bCs/>
                <w:szCs w:val="21"/>
                <w:lang w:bidi="ar"/>
              </w:rPr>
              <w:t>配备教学大纲</w:t>
            </w:r>
          </w:p>
          <w:tbl>
            <w:tblPr>
              <w:tblStyle w:val="12"/>
              <w:tblW w:w="59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3"/>
              <w:gridCol w:w="6"/>
              <w:gridCol w:w="968"/>
              <w:gridCol w:w="6"/>
              <w:gridCol w:w="434"/>
              <w:gridCol w:w="6"/>
              <w:gridCol w:w="439"/>
              <w:gridCol w:w="6"/>
              <w:gridCol w:w="389"/>
              <w:gridCol w:w="6"/>
              <w:gridCol w:w="438"/>
              <w:gridCol w:w="6"/>
              <w:gridCol w:w="418"/>
              <w:gridCol w:w="6"/>
              <w:gridCol w:w="347"/>
              <w:gridCol w:w="6"/>
              <w:gridCol w:w="445"/>
              <w:gridCol w:w="6"/>
              <w:gridCol w:w="1707"/>
              <w:gridCol w:w="6"/>
            </w:tblGrid>
            <w:tr w14:paraId="18D7E9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8" w:hRule="atLeast"/>
                <w:jc w:val="center"/>
              </w:trPr>
              <w:tc>
                <w:tcPr>
                  <w:tcW w:w="329" w:type="dxa"/>
                  <w:gridSpan w:val="2"/>
                  <w:vMerge w:val="restart"/>
                  <w:tcBorders>
                    <w:top w:val="single" w:color="auto" w:sz="4" w:space="0"/>
                    <w:left w:val="single" w:color="auto" w:sz="4" w:space="0"/>
                    <w:bottom w:val="single" w:color="auto" w:sz="4" w:space="0"/>
                    <w:right w:val="single" w:color="auto" w:sz="4" w:space="0"/>
                  </w:tcBorders>
                  <w:vAlign w:val="center"/>
                </w:tcPr>
                <w:p w14:paraId="3E8C6036">
                  <w:pPr>
                    <w:spacing w:after="50"/>
                    <w:jc w:val="center"/>
                    <w:rPr>
                      <w:rFonts w:ascii="宋体" w:hAnsi="宋体" w:eastAsia="宋体" w:cs="宋体"/>
                      <w:sz w:val="18"/>
                      <w:szCs w:val="18"/>
                    </w:rPr>
                  </w:pPr>
                  <w:r>
                    <w:rPr>
                      <w:rFonts w:hint="eastAsia" w:ascii="宋体" w:hAnsi="宋体" w:eastAsia="宋体" w:cs="宋体"/>
                      <w:sz w:val="18"/>
                      <w:szCs w:val="18"/>
                    </w:rPr>
                    <w:t>序号</w:t>
                  </w:r>
                </w:p>
              </w:tc>
              <w:tc>
                <w:tcPr>
                  <w:tcW w:w="974" w:type="dxa"/>
                  <w:gridSpan w:val="2"/>
                  <w:vMerge w:val="restart"/>
                  <w:tcBorders>
                    <w:top w:val="single" w:color="auto" w:sz="4" w:space="0"/>
                    <w:left w:val="single" w:color="auto" w:sz="4" w:space="0"/>
                    <w:bottom w:val="single" w:color="auto" w:sz="4" w:space="0"/>
                    <w:right w:val="single" w:color="auto" w:sz="4" w:space="0"/>
                  </w:tcBorders>
                  <w:vAlign w:val="center"/>
                </w:tcPr>
                <w:p w14:paraId="6C913FAB">
                  <w:pPr>
                    <w:spacing w:after="50"/>
                    <w:jc w:val="center"/>
                    <w:rPr>
                      <w:rFonts w:ascii="宋体" w:hAnsi="宋体" w:eastAsia="宋体" w:cs="宋体"/>
                      <w:sz w:val="18"/>
                      <w:szCs w:val="18"/>
                    </w:rPr>
                  </w:pPr>
                  <w:r>
                    <w:rPr>
                      <w:rFonts w:hint="eastAsia" w:ascii="宋体" w:hAnsi="宋体" w:eastAsia="宋体" w:cs="宋体"/>
                      <w:sz w:val="18"/>
                      <w:szCs w:val="18"/>
                    </w:rPr>
                    <w:t>实验名称</w:t>
                  </w:r>
                </w:p>
              </w:tc>
              <w:tc>
                <w:tcPr>
                  <w:tcW w:w="440" w:type="dxa"/>
                  <w:gridSpan w:val="2"/>
                  <w:vMerge w:val="restart"/>
                  <w:tcBorders>
                    <w:top w:val="single" w:color="auto" w:sz="4" w:space="0"/>
                    <w:left w:val="single" w:color="auto" w:sz="4" w:space="0"/>
                    <w:bottom w:val="single" w:color="auto" w:sz="4" w:space="0"/>
                    <w:right w:val="single" w:color="auto" w:sz="4" w:space="0"/>
                  </w:tcBorders>
                  <w:vAlign w:val="center"/>
                </w:tcPr>
                <w:p w14:paraId="397515FE">
                  <w:pPr>
                    <w:spacing w:after="50"/>
                    <w:jc w:val="center"/>
                    <w:rPr>
                      <w:rFonts w:ascii="宋体" w:hAnsi="宋体" w:eastAsia="宋体" w:cs="宋体"/>
                      <w:sz w:val="18"/>
                      <w:szCs w:val="18"/>
                    </w:rPr>
                  </w:pPr>
                  <w:r>
                    <w:rPr>
                      <w:rFonts w:hint="eastAsia" w:ascii="宋体" w:hAnsi="宋体" w:eastAsia="宋体" w:cs="宋体"/>
                      <w:sz w:val="18"/>
                      <w:szCs w:val="18"/>
                    </w:rPr>
                    <w:t>必做</w:t>
                  </w:r>
                </w:p>
              </w:tc>
              <w:tc>
                <w:tcPr>
                  <w:tcW w:w="445" w:type="dxa"/>
                  <w:gridSpan w:val="2"/>
                  <w:vMerge w:val="restart"/>
                  <w:tcBorders>
                    <w:top w:val="single" w:color="auto" w:sz="4" w:space="0"/>
                    <w:left w:val="single" w:color="auto" w:sz="4" w:space="0"/>
                    <w:bottom w:val="single" w:color="auto" w:sz="4" w:space="0"/>
                    <w:right w:val="single" w:color="auto" w:sz="4" w:space="0"/>
                  </w:tcBorders>
                  <w:vAlign w:val="center"/>
                </w:tcPr>
                <w:p w14:paraId="654F1C3C">
                  <w:pPr>
                    <w:spacing w:after="50"/>
                    <w:jc w:val="center"/>
                    <w:rPr>
                      <w:rFonts w:ascii="宋体" w:hAnsi="宋体" w:eastAsia="宋体" w:cs="宋体"/>
                      <w:sz w:val="18"/>
                      <w:szCs w:val="18"/>
                    </w:rPr>
                  </w:pPr>
                  <w:r>
                    <w:rPr>
                      <w:rFonts w:hint="eastAsia" w:ascii="宋体" w:hAnsi="宋体" w:eastAsia="宋体" w:cs="宋体"/>
                      <w:sz w:val="18"/>
                      <w:szCs w:val="18"/>
                    </w:rPr>
                    <w:t>选做</w:t>
                  </w:r>
                </w:p>
              </w:tc>
              <w:tc>
                <w:tcPr>
                  <w:tcW w:w="395" w:type="dxa"/>
                  <w:gridSpan w:val="2"/>
                  <w:vMerge w:val="restart"/>
                  <w:tcBorders>
                    <w:top w:val="single" w:color="auto" w:sz="4" w:space="0"/>
                    <w:left w:val="single" w:color="auto" w:sz="4" w:space="0"/>
                    <w:right w:val="single" w:color="auto" w:sz="4" w:space="0"/>
                  </w:tcBorders>
                  <w:vAlign w:val="center"/>
                </w:tcPr>
                <w:p w14:paraId="39D1D7AC">
                  <w:pPr>
                    <w:spacing w:after="50"/>
                    <w:jc w:val="center"/>
                    <w:rPr>
                      <w:rFonts w:ascii="宋体" w:hAnsi="宋体" w:eastAsia="宋体" w:cs="宋体"/>
                      <w:sz w:val="18"/>
                      <w:szCs w:val="18"/>
                    </w:rPr>
                  </w:pPr>
                  <w:r>
                    <w:rPr>
                      <w:rFonts w:hint="eastAsia" w:ascii="宋体" w:hAnsi="宋体" w:eastAsia="宋体" w:cs="宋体"/>
                      <w:sz w:val="18"/>
                      <w:szCs w:val="18"/>
                    </w:rPr>
                    <w:t>学分数</w:t>
                  </w:r>
                </w:p>
              </w:tc>
              <w:tc>
                <w:tcPr>
                  <w:tcW w:w="1672" w:type="dxa"/>
                  <w:gridSpan w:val="8"/>
                  <w:tcBorders>
                    <w:top w:val="single" w:color="auto" w:sz="4" w:space="0"/>
                    <w:left w:val="single" w:color="auto" w:sz="4" w:space="0"/>
                    <w:bottom w:val="single" w:color="auto" w:sz="4" w:space="0"/>
                    <w:right w:val="single" w:color="auto" w:sz="4" w:space="0"/>
                  </w:tcBorders>
                  <w:vAlign w:val="center"/>
                </w:tcPr>
                <w:p w14:paraId="6F16CCBA">
                  <w:pPr>
                    <w:spacing w:after="50"/>
                    <w:jc w:val="center"/>
                    <w:rPr>
                      <w:rFonts w:ascii="宋体" w:hAnsi="宋体" w:eastAsia="宋体" w:cs="宋体"/>
                      <w:sz w:val="18"/>
                      <w:szCs w:val="18"/>
                    </w:rPr>
                  </w:pPr>
                  <w:r>
                    <w:rPr>
                      <w:rFonts w:hint="eastAsia" w:ascii="宋体" w:hAnsi="宋体" w:eastAsia="宋体" w:cs="宋体"/>
                      <w:sz w:val="18"/>
                      <w:szCs w:val="18"/>
                    </w:rPr>
                    <w:t>实验类型</w:t>
                  </w:r>
                </w:p>
              </w:tc>
              <w:tc>
                <w:tcPr>
                  <w:tcW w:w="1713" w:type="dxa"/>
                  <w:gridSpan w:val="2"/>
                  <w:vMerge w:val="restart"/>
                  <w:tcBorders>
                    <w:top w:val="single" w:color="auto" w:sz="4" w:space="0"/>
                    <w:left w:val="single" w:color="auto" w:sz="4" w:space="0"/>
                    <w:bottom w:val="single" w:color="auto" w:sz="4" w:space="0"/>
                    <w:right w:val="single" w:color="auto" w:sz="4" w:space="0"/>
                  </w:tcBorders>
                  <w:vAlign w:val="center"/>
                </w:tcPr>
                <w:p w14:paraId="6DC185A3">
                  <w:pPr>
                    <w:spacing w:after="50"/>
                    <w:jc w:val="center"/>
                    <w:rPr>
                      <w:rFonts w:ascii="宋体" w:hAnsi="宋体" w:eastAsia="宋体" w:cs="宋体"/>
                      <w:sz w:val="18"/>
                      <w:szCs w:val="18"/>
                    </w:rPr>
                  </w:pPr>
                  <w:r>
                    <w:rPr>
                      <w:rFonts w:hint="eastAsia" w:ascii="宋体" w:hAnsi="宋体" w:eastAsia="宋体" w:cs="宋体"/>
                      <w:sz w:val="18"/>
                      <w:szCs w:val="18"/>
                    </w:rPr>
                    <w:t>内容提要</w:t>
                  </w:r>
                </w:p>
              </w:tc>
            </w:tr>
            <w:tr w14:paraId="1426AC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4" w:hRule="atLeast"/>
                <w:jc w:val="center"/>
              </w:trPr>
              <w:tc>
                <w:tcPr>
                  <w:tcW w:w="329" w:type="dxa"/>
                  <w:gridSpan w:val="2"/>
                  <w:vMerge w:val="continue"/>
                  <w:tcBorders>
                    <w:top w:val="single" w:color="auto" w:sz="4" w:space="0"/>
                    <w:left w:val="single" w:color="auto" w:sz="4" w:space="0"/>
                    <w:bottom w:val="single" w:color="auto" w:sz="4" w:space="0"/>
                    <w:right w:val="single" w:color="auto" w:sz="4" w:space="0"/>
                  </w:tcBorders>
                  <w:vAlign w:val="center"/>
                </w:tcPr>
                <w:p w14:paraId="3485390E">
                  <w:pPr>
                    <w:widowControl/>
                    <w:jc w:val="left"/>
                    <w:rPr>
                      <w:rFonts w:ascii="宋体" w:hAnsi="宋体" w:eastAsia="宋体" w:cs="宋体"/>
                      <w:sz w:val="18"/>
                      <w:szCs w:val="18"/>
                    </w:rPr>
                  </w:pPr>
                </w:p>
              </w:tc>
              <w:tc>
                <w:tcPr>
                  <w:tcW w:w="974" w:type="dxa"/>
                  <w:gridSpan w:val="2"/>
                  <w:vMerge w:val="continue"/>
                  <w:tcBorders>
                    <w:top w:val="single" w:color="auto" w:sz="4" w:space="0"/>
                    <w:left w:val="single" w:color="auto" w:sz="4" w:space="0"/>
                    <w:bottom w:val="single" w:color="auto" w:sz="4" w:space="0"/>
                    <w:right w:val="single" w:color="auto" w:sz="4" w:space="0"/>
                  </w:tcBorders>
                  <w:vAlign w:val="center"/>
                </w:tcPr>
                <w:p w14:paraId="6EE3459B">
                  <w:pPr>
                    <w:widowControl/>
                    <w:jc w:val="left"/>
                    <w:rPr>
                      <w:rFonts w:ascii="宋体" w:hAnsi="宋体" w:eastAsia="宋体" w:cs="宋体"/>
                      <w:sz w:val="18"/>
                      <w:szCs w:val="18"/>
                    </w:rPr>
                  </w:pPr>
                </w:p>
              </w:tc>
              <w:tc>
                <w:tcPr>
                  <w:tcW w:w="440" w:type="dxa"/>
                  <w:gridSpan w:val="2"/>
                  <w:vMerge w:val="continue"/>
                  <w:tcBorders>
                    <w:top w:val="single" w:color="auto" w:sz="4" w:space="0"/>
                    <w:left w:val="single" w:color="auto" w:sz="4" w:space="0"/>
                    <w:bottom w:val="single" w:color="auto" w:sz="4" w:space="0"/>
                    <w:right w:val="single" w:color="auto" w:sz="4" w:space="0"/>
                  </w:tcBorders>
                  <w:vAlign w:val="center"/>
                </w:tcPr>
                <w:p w14:paraId="712D4859">
                  <w:pPr>
                    <w:widowControl/>
                    <w:jc w:val="left"/>
                    <w:rPr>
                      <w:rFonts w:ascii="宋体" w:hAnsi="宋体" w:eastAsia="宋体" w:cs="宋体"/>
                      <w:sz w:val="18"/>
                      <w:szCs w:val="18"/>
                    </w:rPr>
                  </w:pPr>
                </w:p>
              </w:tc>
              <w:tc>
                <w:tcPr>
                  <w:tcW w:w="445" w:type="dxa"/>
                  <w:gridSpan w:val="2"/>
                  <w:vMerge w:val="continue"/>
                  <w:tcBorders>
                    <w:top w:val="single" w:color="auto" w:sz="4" w:space="0"/>
                    <w:left w:val="single" w:color="auto" w:sz="4" w:space="0"/>
                    <w:bottom w:val="single" w:color="auto" w:sz="4" w:space="0"/>
                    <w:right w:val="single" w:color="auto" w:sz="4" w:space="0"/>
                  </w:tcBorders>
                  <w:vAlign w:val="center"/>
                </w:tcPr>
                <w:p w14:paraId="3DD8EA08">
                  <w:pPr>
                    <w:widowControl/>
                    <w:jc w:val="left"/>
                    <w:rPr>
                      <w:rFonts w:ascii="宋体" w:hAnsi="宋体" w:eastAsia="宋体" w:cs="宋体"/>
                      <w:sz w:val="18"/>
                      <w:szCs w:val="18"/>
                    </w:rPr>
                  </w:pPr>
                </w:p>
              </w:tc>
              <w:tc>
                <w:tcPr>
                  <w:tcW w:w="395" w:type="dxa"/>
                  <w:gridSpan w:val="2"/>
                  <w:vMerge w:val="continue"/>
                  <w:tcBorders>
                    <w:left w:val="single" w:color="auto" w:sz="4" w:space="0"/>
                    <w:bottom w:val="single" w:color="auto" w:sz="4" w:space="0"/>
                    <w:right w:val="single" w:color="auto" w:sz="4" w:space="0"/>
                  </w:tcBorders>
                  <w:vAlign w:val="center"/>
                </w:tcPr>
                <w:p w14:paraId="63048E64">
                  <w:pPr>
                    <w:spacing w:after="50"/>
                    <w:ind w:left="72" w:hanging="72" w:hangingChars="4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542738B9">
                  <w:pPr>
                    <w:spacing w:after="50"/>
                    <w:ind w:left="72" w:hanging="72" w:hangingChars="40"/>
                    <w:jc w:val="center"/>
                    <w:rPr>
                      <w:rFonts w:ascii="宋体" w:hAnsi="宋体" w:eastAsia="宋体" w:cs="宋体"/>
                      <w:sz w:val="18"/>
                      <w:szCs w:val="18"/>
                    </w:rPr>
                  </w:pPr>
                  <w:r>
                    <w:rPr>
                      <w:rFonts w:hint="eastAsia" w:ascii="宋体" w:hAnsi="宋体" w:eastAsia="宋体" w:cs="宋体"/>
                      <w:sz w:val="18"/>
                      <w:szCs w:val="18"/>
                    </w:rPr>
                    <w:t>基本操作</w:t>
                  </w: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640CA1D0">
                  <w:pPr>
                    <w:spacing w:after="50"/>
                    <w:jc w:val="center"/>
                    <w:rPr>
                      <w:rFonts w:ascii="宋体" w:hAnsi="宋体" w:eastAsia="宋体" w:cs="宋体"/>
                      <w:sz w:val="18"/>
                      <w:szCs w:val="18"/>
                    </w:rPr>
                  </w:pPr>
                  <w:r>
                    <w:rPr>
                      <w:rFonts w:hint="eastAsia" w:ascii="宋体" w:hAnsi="宋体" w:eastAsia="宋体" w:cs="宋体"/>
                      <w:sz w:val="18"/>
                      <w:szCs w:val="18"/>
                    </w:rPr>
                    <w:t>验证</w:t>
                  </w: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2E9E0517">
                  <w:pPr>
                    <w:spacing w:after="50"/>
                    <w:ind w:left="72" w:hanging="72" w:hangingChars="40"/>
                    <w:jc w:val="center"/>
                    <w:rPr>
                      <w:rFonts w:ascii="宋体" w:hAnsi="宋体" w:eastAsia="宋体" w:cs="宋体"/>
                      <w:sz w:val="18"/>
                      <w:szCs w:val="18"/>
                    </w:rPr>
                  </w:pPr>
                  <w:r>
                    <w:rPr>
                      <w:rFonts w:hint="eastAsia" w:ascii="宋体" w:hAnsi="宋体" w:eastAsia="宋体" w:cs="宋体"/>
                      <w:sz w:val="18"/>
                      <w:szCs w:val="18"/>
                    </w:rPr>
                    <w:t>综合</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25BA0D9A">
                  <w:pPr>
                    <w:spacing w:after="50"/>
                    <w:ind w:left="72" w:hanging="72" w:hangingChars="40"/>
                    <w:jc w:val="center"/>
                    <w:rPr>
                      <w:rFonts w:ascii="宋体" w:hAnsi="宋体" w:eastAsia="宋体" w:cs="宋体"/>
                      <w:sz w:val="18"/>
                      <w:szCs w:val="18"/>
                    </w:rPr>
                  </w:pPr>
                  <w:r>
                    <w:rPr>
                      <w:rFonts w:hint="eastAsia" w:ascii="宋体" w:hAnsi="宋体" w:eastAsia="宋体" w:cs="宋体"/>
                      <w:sz w:val="18"/>
                      <w:szCs w:val="18"/>
                    </w:rPr>
                    <w:t>设计</w:t>
                  </w:r>
                </w:p>
              </w:tc>
              <w:tc>
                <w:tcPr>
                  <w:tcW w:w="1713" w:type="dxa"/>
                  <w:gridSpan w:val="2"/>
                  <w:vMerge w:val="continue"/>
                  <w:tcBorders>
                    <w:top w:val="single" w:color="auto" w:sz="4" w:space="0"/>
                    <w:left w:val="single" w:color="auto" w:sz="4" w:space="0"/>
                    <w:bottom w:val="single" w:color="auto" w:sz="4" w:space="0"/>
                    <w:right w:val="single" w:color="auto" w:sz="4" w:space="0"/>
                  </w:tcBorders>
                  <w:vAlign w:val="center"/>
                </w:tcPr>
                <w:p w14:paraId="12B49657">
                  <w:pPr>
                    <w:widowControl/>
                    <w:jc w:val="left"/>
                    <w:rPr>
                      <w:rFonts w:ascii="宋体" w:hAnsi="宋体" w:eastAsia="宋体" w:cs="宋体"/>
                      <w:sz w:val="18"/>
                      <w:szCs w:val="18"/>
                    </w:rPr>
                  </w:pPr>
                </w:p>
              </w:tc>
            </w:tr>
            <w:tr w14:paraId="4616B1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984"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06EFAC39">
                  <w:pPr>
                    <w:spacing w:after="50"/>
                    <w:jc w:val="center"/>
                    <w:rPr>
                      <w:rFonts w:ascii="宋体" w:hAnsi="宋体" w:eastAsia="宋体" w:cs="宋体"/>
                      <w:sz w:val="18"/>
                      <w:szCs w:val="18"/>
                    </w:rPr>
                  </w:pPr>
                  <w:r>
                    <w:rPr>
                      <w:rFonts w:hint="eastAsia" w:ascii="宋体" w:hAnsi="宋体" w:eastAsia="宋体" w:cs="宋体"/>
                      <w:sz w:val="18"/>
                      <w:szCs w:val="18"/>
                    </w:rPr>
                    <w:t>1</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2873975B">
                  <w:pPr>
                    <w:adjustRightInd w:val="0"/>
                    <w:snapToGrid w:val="0"/>
                    <w:spacing w:after="50"/>
                    <w:rPr>
                      <w:rFonts w:ascii="宋体" w:hAnsi="宋体" w:eastAsia="宋体" w:cs="宋体"/>
                      <w:sz w:val="18"/>
                      <w:szCs w:val="18"/>
                    </w:rPr>
                  </w:pPr>
                  <w:r>
                    <w:rPr>
                      <w:rFonts w:hint="eastAsia" w:ascii="宋体" w:hAnsi="宋体" w:eastAsia="宋体" w:cs="宋体"/>
                      <w:sz w:val="18"/>
                      <w:szCs w:val="18"/>
                    </w:rPr>
                    <w:t>比较优势与绝对优势理论实验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3862A4BB">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5244C09E">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5A714F6C">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47E62F98">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59802541">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0D383557">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6488D506">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3A9F07A7">
                  <w:pPr>
                    <w:adjustRightInd w:val="0"/>
                    <w:snapToGrid w:val="0"/>
                    <w:spacing w:after="50"/>
                    <w:rPr>
                      <w:rFonts w:ascii="宋体" w:hAnsi="宋体" w:eastAsia="宋体" w:cs="宋体"/>
                      <w:sz w:val="18"/>
                      <w:szCs w:val="18"/>
                    </w:rPr>
                  </w:pPr>
                  <w:r>
                    <w:rPr>
                      <w:rFonts w:hint="eastAsia" w:ascii="宋体" w:hAnsi="宋体" w:eastAsia="宋体" w:cs="宋体"/>
                      <w:sz w:val="18"/>
                      <w:szCs w:val="18"/>
                    </w:rPr>
                    <w:t>每一会计年度进行比较优势和绝对优势产品分析，进行订单竞标吸引海内外订单，开展进出口业务</w:t>
                  </w:r>
                </w:p>
              </w:tc>
            </w:tr>
            <w:tr w14:paraId="5BDBC6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826"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711EB442">
                  <w:pPr>
                    <w:spacing w:after="50"/>
                    <w:jc w:val="center"/>
                    <w:rPr>
                      <w:rFonts w:ascii="宋体" w:hAnsi="宋体" w:eastAsia="宋体" w:cs="宋体"/>
                      <w:sz w:val="18"/>
                      <w:szCs w:val="18"/>
                    </w:rPr>
                  </w:pPr>
                  <w:r>
                    <w:rPr>
                      <w:rFonts w:hint="eastAsia" w:ascii="宋体" w:hAnsi="宋体" w:eastAsia="宋体" w:cs="宋体"/>
                      <w:sz w:val="18"/>
                      <w:szCs w:val="18"/>
                    </w:rPr>
                    <w:t>2</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54B7B1F9">
                  <w:pPr>
                    <w:adjustRightInd w:val="0"/>
                    <w:snapToGrid w:val="0"/>
                    <w:spacing w:after="50"/>
                    <w:rPr>
                      <w:rFonts w:ascii="宋体" w:hAnsi="宋体" w:eastAsia="宋体" w:cs="宋体"/>
                      <w:sz w:val="18"/>
                      <w:szCs w:val="18"/>
                    </w:rPr>
                  </w:pPr>
                  <w:r>
                    <w:rPr>
                      <w:rFonts w:hint="eastAsia" w:ascii="宋体" w:hAnsi="宋体" w:eastAsia="宋体" w:cs="宋体"/>
                      <w:sz w:val="18"/>
                      <w:szCs w:val="18"/>
                    </w:rPr>
                    <w:t>要素禀赋理论实验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2577AFB1">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79262C37">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68A1F762">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74397ED4">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60AB54F3">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1B0A34F1">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18A6B29B">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08D39835">
                  <w:pPr>
                    <w:adjustRightInd w:val="0"/>
                    <w:snapToGrid w:val="0"/>
                    <w:spacing w:after="50"/>
                    <w:rPr>
                      <w:rFonts w:ascii="宋体" w:hAnsi="宋体" w:eastAsia="宋体" w:cs="宋体"/>
                      <w:sz w:val="18"/>
                      <w:szCs w:val="18"/>
                    </w:rPr>
                  </w:pPr>
                  <w:r>
                    <w:rPr>
                      <w:rFonts w:hint="eastAsia" w:ascii="宋体" w:hAnsi="宋体" w:eastAsia="宋体" w:cs="宋体"/>
                      <w:sz w:val="18"/>
                      <w:szCs w:val="18"/>
                    </w:rPr>
                    <w:t>各国对汽车、钢铁行业各产品要素密集度进行分析,在不同要素密集度下投资和经营</w:t>
                  </w:r>
                </w:p>
              </w:tc>
            </w:tr>
            <w:tr w14:paraId="24AB5A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1325"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5B5F17A9">
                  <w:pPr>
                    <w:spacing w:after="50"/>
                    <w:jc w:val="center"/>
                    <w:rPr>
                      <w:rFonts w:ascii="宋体" w:hAnsi="宋体" w:eastAsia="宋体" w:cs="宋体"/>
                      <w:sz w:val="18"/>
                      <w:szCs w:val="18"/>
                    </w:rPr>
                  </w:pPr>
                  <w:r>
                    <w:rPr>
                      <w:rFonts w:hint="eastAsia" w:ascii="宋体" w:hAnsi="宋体" w:eastAsia="宋体" w:cs="宋体"/>
                      <w:sz w:val="18"/>
                      <w:szCs w:val="18"/>
                    </w:rPr>
                    <w:t>3</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38B5931E">
                  <w:pPr>
                    <w:adjustRightInd w:val="0"/>
                    <w:snapToGrid w:val="0"/>
                    <w:spacing w:after="50"/>
                    <w:rPr>
                      <w:rFonts w:ascii="宋体" w:hAnsi="宋体" w:eastAsia="宋体" w:cs="宋体"/>
                      <w:sz w:val="18"/>
                      <w:szCs w:val="18"/>
                    </w:rPr>
                  </w:pPr>
                  <w:r>
                    <w:rPr>
                      <w:rFonts w:hint="eastAsia" w:ascii="宋体" w:hAnsi="宋体" w:eastAsia="宋体" w:cs="宋体"/>
                      <w:sz w:val="18"/>
                      <w:szCs w:val="18"/>
                    </w:rPr>
                    <w:t>需求、技术变化与国际贸易实验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442EEDC2">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1243749B">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423B87D8">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449A1342">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0385FFB7">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7B8BDD05">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49ADFF59">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2BD10F2B">
                  <w:pPr>
                    <w:adjustRightInd w:val="0"/>
                    <w:snapToGrid w:val="0"/>
                    <w:spacing w:after="50"/>
                    <w:rPr>
                      <w:rFonts w:ascii="宋体" w:hAnsi="宋体" w:eastAsia="宋体" w:cs="宋体"/>
                      <w:sz w:val="18"/>
                      <w:szCs w:val="18"/>
                    </w:rPr>
                  </w:pPr>
                  <w:r>
                    <w:rPr>
                      <w:rFonts w:hint="eastAsia" w:ascii="宋体" w:hAnsi="宋体" w:eastAsia="宋体" w:cs="宋体"/>
                      <w:sz w:val="18"/>
                      <w:szCs w:val="18"/>
                    </w:rPr>
                    <w:t>根据需求结构变化进行订单竞标，各国厂商制定今年的国际贸易策略</w:t>
                  </w:r>
                </w:p>
                <w:p w14:paraId="20BDA5B4">
                  <w:pPr>
                    <w:adjustRightInd w:val="0"/>
                    <w:snapToGrid w:val="0"/>
                    <w:spacing w:after="50"/>
                    <w:rPr>
                      <w:rFonts w:ascii="宋体" w:hAnsi="宋体" w:eastAsia="宋体" w:cs="宋体"/>
                      <w:sz w:val="18"/>
                      <w:szCs w:val="18"/>
                    </w:rPr>
                  </w:pPr>
                  <w:r>
                    <w:rPr>
                      <w:rFonts w:hint="eastAsia" w:ascii="宋体" w:hAnsi="宋体" w:eastAsia="宋体" w:cs="宋体"/>
                      <w:sz w:val="18"/>
                      <w:szCs w:val="18"/>
                    </w:rPr>
                    <w:t>各国判断产品周期阶段，并判断是否通过建设高档生产线实现技术创新</w:t>
                  </w:r>
                </w:p>
              </w:tc>
            </w:tr>
            <w:tr w14:paraId="2A3F9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552"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25E72ABB">
                  <w:pPr>
                    <w:spacing w:after="50"/>
                    <w:jc w:val="center"/>
                    <w:rPr>
                      <w:rFonts w:ascii="宋体" w:hAnsi="宋体" w:eastAsia="宋体" w:cs="宋体"/>
                      <w:sz w:val="18"/>
                      <w:szCs w:val="18"/>
                    </w:rPr>
                  </w:pPr>
                  <w:r>
                    <w:rPr>
                      <w:rFonts w:hint="eastAsia" w:ascii="宋体" w:hAnsi="宋体" w:eastAsia="宋体" w:cs="宋体"/>
                      <w:sz w:val="18"/>
                      <w:szCs w:val="18"/>
                    </w:rPr>
                    <w:t>4</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748E1C1F">
                  <w:pPr>
                    <w:adjustRightInd w:val="0"/>
                    <w:snapToGrid w:val="0"/>
                    <w:spacing w:after="50"/>
                    <w:rPr>
                      <w:rFonts w:ascii="宋体" w:hAnsi="宋体" w:eastAsia="宋体" w:cs="宋体"/>
                      <w:sz w:val="18"/>
                      <w:szCs w:val="18"/>
                    </w:rPr>
                  </w:pPr>
                  <w:r>
                    <w:rPr>
                      <w:rFonts w:hint="eastAsia" w:ascii="宋体" w:hAnsi="宋体" w:eastAsia="宋体" w:cs="宋体"/>
                      <w:sz w:val="18"/>
                      <w:szCs w:val="18"/>
                    </w:rPr>
                    <w:t>规模经济、垄断与国际贸易实验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326BA732">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47D8DF65">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1708E671">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20F244EB">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4963FA1E">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1CB332A1">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7C82E5B4">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0A00E5FB">
                  <w:pPr>
                    <w:adjustRightInd w:val="0"/>
                    <w:snapToGrid w:val="0"/>
                    <w:spacing w:after="50"/>
                    <w:rPr>
                      <w:rFonts w:ascii="宋体" w:hAnsi="宋体" w:eastAsia="宋体" w:cs="宋体"/>
                      <w:sz w:val="18"/>
                      <w:szCs w:val="18"/>
                    </w:rPr>
                  </w:pPr>
                  <w:r>
                    <w:rPr>
                      <w:rFonts w:hint="eastAsia" w:ascii="宋体" w:hAnsi="宋体" w:eastAsia="宋体" w:cs="宋体"/>
                      <w:sz w:val="18"/>
                      <w:szCs w:val="18"/>
                    </w:rPr>
                    <w:t>分析各国各厂商市场结构，并判断在开放经济中的市场均衡条件</w:t>
                  </w:r>
                </w:p>
              </w:tc>
            </w:tr>
            <w:tr w14:paraId="6563B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1144"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7804FFF6">
                  <w:pPr>
                    <w:spacing w:after="50"/>
                    <w:jc w:val="center"/>
                    <w:rPr>
                      <w:rFonts w:ascii="宋体" w:hAnsi="宋体" w:eastAsia="宋体" w:cs="宋体"/>
                      <w:sz w:val="18"/>
                      <w:szCs w:val="18"/>
                    </w:rPr>
                  </w:pPr>
                  <w:r>
                    <w:rPr>
                      <w:rFonts w:hint="eastAsia" w:ascii="宋体" w:hAnsi="宋体" w:eastAsia="宋体" w:cs="宋体"/>
                      <w:sz w:val="18"/>
                      <w:szCs w:val="18"/>
                    </w:rPr>
                    <w:t>5</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2358432E">
                  <w:pPr>
                    <w:adjustRightInd w:val="0"/>
                    <w:snapToGrid w:val="0"/>
                    <w:spacing w:after="50"/>
                    <w:rPr>
                      <w:rFonts w:ascii="宋体" w:hAnsi="宋体" w:eastAsia="宋体" w:cs="宋体"/>
                      <w:sz w:val="18"/>
                      <w:szCs w:val="18"/>
                    </w:rPr>
                  </w:pPr>
                  <w:r>
                    <w:rPr>
                      <w:rFonts w:hint="eastAsia" w:ascii="宋体" w:hAnsi="宋体" w:eastAsia="宋体" w:cs="宋体"/>
                      <w:sz w:val="18"/>
                      <w:szCs w:val="18"/>
                    </w:rPr>
                    <w:t>关税、非关税壁垒与贸易保护实验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499BDEBD">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19027DDB">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60085F9B">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2B01B2F5">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36A75C1B">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302A34F4">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59BF110C">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650478B5">
                  <w:pPr>
                    <w:adjustRightInd w:val="0"/>
                    <w:snapToGrid w:val="0"/>
                    <w:spacing w:after="50"/>
                    <w:rPr>
                      <w:rFonts w:ascii="宋体" w:hAnsi="宋体" w:eastAsia="宋体" w:cs="宋体"/>
                      <w:sz w:val="18"/>
                      <w:szCs w:val="18"/>
                    </w:rPr>
                  </w:pPr>
                  <w:r>
                    <w:rPr>
                      <w:rFonts w:hint="eastAsia" w:ascii="宋体" w:hAnsi="宋体" w:eastAsia="宋体" w:cs="宋体"/>
                      <w:sz w:val="18"/>
                      <w:szCs w:val="18"/>
                    </w:rPr>
                    <w:t>各国政府设定关税税率、出口补贴金额，根据上年运营情况区分幼稚产业和战略性产业,并制定相应的贸易保护措施</w:t>
                  </w:r>
                </w:p>
              </w:tc>
            </w:tr>
            <w:tr w14:paraId="00FCD0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984"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2CAD9337">
                  <w:pPr>
                    <w:spacing w:after="50"/>
                    <w:jc w:val="center"/>
                    <w:rPr>
                      <w:rFonts w:ascii="宋体" w:hAnsi="宋体" w:eastAsia="宋体" w:cs="宋体"/>
                      <w:sz w:val="18"/>
                      <w:szCs w:val="18"/>
                    </w:rPr>
                  </w:pPr>
                  <w:r>
                    <w:rPr>
                      <w:rFonts w:hint="eastAsia" w:ascii="宋体" w:hAnsi="宋体" w:eastAsia="宋体" w:cs="宋体"/>
                      <w:sz w:val="18"/>
                      <w:szCs w:val="18"/>
                    </w:rPr>
                    <w:t>6</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5C3EE331">
                  <w:pPr>
                    <w:adjustRightInd w:val="0"/>
                    <w:snapToGrid w:val="0"/>
                    <w:spacing w:after="50"/>
                    <w:rPr>
                      <w:rFonts w:ascii="宋体" w:hAnsi="宋体" w:eastAsia="宋体" w:cs="宋体"/>
                      <w:sz w:val="18"/>
                      <w:szCs w:val="18"/>
                    </w:rPr>
                  </w:pPr>
                  <w:r>
                    <w:rPr>
                      <w:rFonts w:hint="eastAsia" w:ascii="宋体" w:hAnsi="宋体" w:eastAsia="宋体" w:cs="宋体"/>
                      <w:sz w:val="18"/>
                      <w:szCs w:val="18"/>
                    </w:rPr>
                    <w:t>国际要素流动与跨国直接投资实验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6DE54965">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6DE979E1">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19854AA2">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49EC4DEA">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33F5AAA2">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7B905F15">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216A590F">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520167CB">
                  <w:pPr>
                    <w:adjustRightInd w:val="0"/>
                    <w:snapToGrid w:val="0"/>
                    <w:spacing w:after="50"/>
                    <w:rPr>
                      <w:rFonts w:ascii="宋体" w:hAnsi="宋体" w:eastAsia="宋体" w:cs="宋体"/>
                      <w:sz w:val="18"/>
                      <w:szCs w:val="18"/>
                    </w:rPr>
                  </w:pPr>
                  <w:r>
                    <w:rPr>
                      <w:rFonts w:hint="eastAsia" w:ascii="宋体" w:hAnsi="宋体" w:eastAsia="宋体" w:cs="宋体"/>
                      <w:sz w:val="18"/>
                      <w:szCs w:val="18"/>
                    </w:rPr>
                    <w:t>根据每一年资本、劳动力要素国际间流动结果调整国际金融政策、跨国人才流动政策和国际投资政策</w:t>
                  </w:r>
                </w:p>
              </w:tc>
            </w:tr>
            <w:tr w14:paraId="0B3B36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1303"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0A3AC793">
                  <w:pPr>
                    <w:spacing w:after="50"/>
                    <w:jc w:val="center"/>
                    <w:rPr>
                      <w:rFonts w:ascii="宋体" w:hAnsi="宋体" w:eastAsia="宋体" w:cs="宋体"/>
                      <w:sz w:val="18"/>
                      <w:szCs w:val="18"/>
                    </w:rPr>
                  </w:pPr>
                  <w:r>
                    <w:rPr>
                      <w:rFonts w:hint="eastAsia" w:ascii="宋体" w:hAnsi="宋体" w:eastAsia="宋体" w:cs="宋体"/>
                      <w:sz w:val="18"/>
                      <w:szCs w:val="18"/>
                    </w:rPr>
                    <w:t>7</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4417F84F">
                  <w:pPr>
                    <w:adjustRightInd w:val="0"/>
                    <w:snapToGrid w:val="0"/>
                    <w:spacing w:after="50"/>
                    <w:rPr>
                      <w:rFonts w:ascii="宋体" w:hAnsi="宋体" w:eastAsia="宋体" w:cs="宋体"/>
                      <w:sz w:val="18"/>
                      <w:szCs w:val="18"/>
                    </w:rPr>
                  </w:pPr>
                  <w:r>
                    <w:rPr>
                      <w:rFonts w:hint="eastAsia" w:ascii="宋体" w:hAnsi="宋体" w:eastAsia="宋体" w:cs="宋体"/>
                      <w:sz w:val="18"/>
                      <w:szCs w:val="18"/>
                    </w:rPr>
                    <w:t>汇率决定与开放经济的宏观政策实验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1ED9A871">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5F6D801B">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1F9F59FE">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10867D84">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38EA386C">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6D4EF524">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4254E72D">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118900F9">
                  <w:pPr>
                    <w:adjustRightInd w:val="0"/>
                    <w:snapToGrid w:val="0"/>
                    <w:spacing w:after="50"/>
                    <w:rPr>
                      <w:rFonts w:ascii="宋体" w:hAnsi="宋体" w:eastAsia="宋体" w:cs="宋体"/>
                      <w:sz w:val="18"/>
                      <w:szCs w:val="18"/>
                    </w:rPr>
                  </w:pPr>
                  <w:r>
                    <w:rPr>
                      <w:rFonts w:hint="eastAsia" w:ascii="宋体" w:hAnsi="宋体" w:eastAsia="宋体" w:cs="宋体"/>
                      <w:sz w:val="18"/>
                      <w:szCs w:val="18"/>
                    </w:rPr>
                    <w:t>各国根据上一年产品进出口相关指标判断国际市场上商品竞争力，选择汇率制度，制定在开放经济中宏观政策目标，并颁布相关政府措施</w:t>
                  </w:r>
                </w:p>
              </w:tc>
            </w:tr>
            <w:tr w14:paraId="59BF5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trHeight w:val="993" w:hRule="atLeast"/>
                <w:jc w:val="center"/>
              </w:trPr>
              <w:tc>
                <w:tcPr>
                  <w:tcW w:w="323" w:type="dxa"/>
                  <w:tcBorders>
                    <w:top w:val="single" w:color="auto" w:sz="4" w:space="0"/>
                    <w:left w:val="single" w:color="auto" w:sz="4" w:space="0"/>
                    <w:bottom w:val="single" w:color="auto" w:sz="4" w:space="0"/>
                    <w:right w:val="single" w:color="auto" w:sz="4" w:space="0"/>
                  </w:tcBorders>
                  <w:vAlign w:val="center"/>
                </w:tcPr>
                <w:p w14:paraId="7D74D28D">
                  <w:pPr>
                    <w:spacing w:after="50"/>
                    <w:jc w:val="center"/>
                    <w:rPr>
                      <w:rFonts w:ascii="宋体" w:hAnsi="宋体" w:eastAsia="宋体" w:cs="宋体"/>
                      <w:sz w:val="18"/>
                      <w:szCs w:val="18"/>
                    </w:rPr>
                  </w:pPr>
                  <w:r>
                    <w:rPr>
                      <w:rFonts w:hint="eastAsia" w:ascii="宋体" w:hAnsi="宋体" w:eastAsia="宋体" w:cs="宋体"/>
                      <w:sz w:val="18"/>
                      <w:szCs w:val="18"/>
                    </w:rPr>
                    <w:t>8</w:t>
                  </w:r>
                </w:p>
              </w:tc>
              <w:tc>
                <w:tcPr>
                  <w:tcW w:w="974" w:type="dxa"/>
                  <w:gridSpan w:val="2"/>
                  <w:tcBorders>
                    <w:top w:val="single" w:color="auto" w:sz="4" w:space="0"/>
                    <w:left w:val="single" w:color="auto" w:sz="4" w:space="0"/>
                    <w:bottom w:val="single" w:color="auto" w:sz="4" w:space="0"/>
                    <w:right w:val="single" w:color="auto" w:sz="4" w:space="0"/>
                  </w:tcBorders>
                  <w:vAlign w:val="center"/>
                </w:tcPr>
                <w:p w14:paraId="3479168E">
                  <w:pPr>
                    <w:adjustRightInd w:val="0"/>
                    <w:snapToGrid w:val="0"/>
                    <w:spacing w:after="50"/>
                    <w:rPr>
                      <w:rFonts w:ascii="宋体" w:hAnsi="宋体" w:eastAsia="宋体" w:cs="宋体"/>
                      <w:sz w:val="18"/>
                      <w:szCs w:val="18"/>
                    </w:rPr>
                  </w:pPr>
                  <w:r>
                    <w:rPr>
                      <w:rFonts w:hint="eastAsia" w:ascii="宋体" w:hAnsi="宋体" w:eastAsia="宋体" w:cs="宋体"/>
                      <w:sz w:val="18"/>
                      <w:szCs w:val="18"/>
                    </w:rPr>
                    <w:t>国际收支调整与平衡实验</w:t>
                  </w:r>
                </w:p>
              </w:tc>
              <w:tc>
                <w:tcPr>
                  <w:tcW w:w="440" w:type="dxa"/>
                  <w:gridSpan w:val="2"/>
                  <w:tcBorders>
                    <w:top w:val="single" w:color="auto" w:sz="4" w:space="0"/>
                    <w:left w:val="single" w:color="auto" w:sz="4" w:space="0"/>
                    <w:bottom w:val="single" w:color="auto" w:sz="4" w:space="0"/>
                    <w:right w:val="single" w:color="auto" w:sz="4" w:space="0"/>
                  </w:tcBorders>
                  <w:vAlign w:val="center"/>
                </w:tcPr>
                <w:p w14:paraId="51E541FC">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45" w:type="dxa"/>
                  <w:gridSpan w:val="2"/>
                  <w:tcBorders>
                    <w:top w:val="single" w:color="auto" w:sz="4" w:space="0"/>
                    <w:left w:val="single" w:color="auto" w:sz="4" w:space="0"/>
                    <w:bottom w:val="single" w:color="auto" w:sz="4" w:space="0"/>
                    <w:right w:val="single" w:color="auto" w:sz="4" w:space="0"/>
                  </w:tcBorders>
                  <w:vAlign w:val="center"/>
                </w:tcPr>
                <w:p w14:paraId="510A3567">
                  <w:pPr>
                    <w:adjustRightInd w:val="0"/>
                    <w:snapToGrid w:val="0"/>
                    <w:spacing w:after="50"/>
                    <w:jc w:val="center"/>
                    <w:rPr>
                      <w:rFonts w:ascii="宋体" w:hAnsi="宋体" w:eastAsia="宋体" w:cs="宋体"/>
                      <w:sz w:val="18"/>
                      <w:szCs w:val="18"/>
                    </w:rPr>
                  </w:pPr>
                </w:p>
              </w:tc>
              <w:tc>
                <w:tcPr>
                  <w:tcW w:w="395" w:type="dxa"/>
                  <w:gridSpan w:val="2"/>
                  <w:tcBorders>
                    <w:top w:val="single" w:color="auto" w:sz="4" w:space="0"/>
                    <w:left w:val="single" w:color="auto" w:sz="4" w:space="0"/>
                    <w:bottom w:val="single" w:color="auto" w:sz="4" w:space="0"/>
                    <w:right w:val="single" w:color="auto" w:sz="4" w:space="0"/>
                  </w:tcBorders>
                  <w:vAlign w:val="center"/>
                </w:tcPr>
                <w:p w14:paraId="01746B78">
                  <w:pPr>
                    <w:adjustRightInd w:val="0"/>
                    <w:snapToGrid w:val="0"/>
                    <w:spacing w:after="50"/>
                    <w:jc w:val="center"/>
                    <w:rPr>
                      <w:rFonts w:ascii="宋体" w:hAnsi="宋体" w:eastAsia="宋体" w:cs="宋体"/>
                      <w:sz w:val="18"/>
                      <w:szCs w:val="18"/>
                    </w:rPr>
                  </w:pPr>
                </w:p>
              </w:tc>
              <w:tc>
                <w:tcPr>
                  <w:tcW w:w="444" w:type="dxa"/>
                  <w:gridSpan w:val="2"/>
                  <w:tcBorders>
                    <w:top w:val="single" w:color="auto" w:sz="4" w:space="0"/>
                    <w:left w:val="single" w:color="auto" w:sz="4" w:space="0"/>
                    <w:bottom w:val="single" w:color="auto" w:sz="4" w:space="0"/>
                    <w:right w:val="single" w:color="auto" w:sz="4" w:space="0"/>
                  </w:tcBorders>
                  <w:vAlign w:val="center"/>
                </w:tcPr>
                <w:p w14:paraId="176AF44F">
                  <w:pPr>
                    <w:adjustRightInd w:val="0"/>
                    <w:snapToGrid w:val="0"/>
                    <w:spacing w:after="50"/>
                    <w:jc w:val="center"/>
                    <w:rPr>
                      <w:rFonts w:ascii="宋体" w:hAnsi="宋体" w:eastAsia="宋体" w:cs="宋体"/>
                      <w:sz w:val="18"/>
                      <w:szCs w:val="18"/>
                    </w:rPr>
                  </w:pPr>
                </w:p>
              </w:tc>
              <w:tc>
                <w:tcPr>
                  <w:tcW w:w="424" w:type="dxa"/>
                  <w:gridSpan w:val="2"/>
                  <w:tcBorders>
                    <w:top w:val="single" w:color="auto" w:sz="4" w:space="0"/>
                    <w:left w:val="single" w:color="auto" w:sz="4" w:space="0"/>
                    <w:bottom w:val="single" w:color="auto" w:sz="4" w:space="0"/>
                    <w:right w:val="single" w:color="auto" w:sz="4" w:space="0"/>
                  </w:tcBorders>
                  <w:vAlign w:val="center"/>
                </w:tcPr>
                <w:p w14:paraId="04292446">
                  <w:pPr>
                    <w:adjustRightInd w:val="0"/>
                    <w:snapToGrid w:val="0"/>
                    <w:spacing w:after="50"/>
                    <w:jc w:val="center"/>
                    <w:rPr>
                      <w:rFonts w:ascii="宋体" w:hAnsi="宋体" w:eastAsia="宋体" w:cs="宋体"/>
                      <w:sz w:val="18"/>
                      <w:szCs w:val="18"/>
                    </w:rPr>
                  </w:pPr>
                </w:p>
              </w:tc>
              <w:tc>
                <w:tcPr>
                  <w:tcW w:w="353" w:type="dxa"/>
                  <w:gridSpan w:val="2"/>
                  <w:tcBorders>
                    <w:top w:val="single" w:color="auto" w:sz="4" w:space="0"/>
                    <w:left w:val="single" w:color="auto" w:sz="4" w:space="0"/>
                    <w:bottom w:val="single" w:color="auto" w:sz="4" w:space="0"/>
                    <w:right w:val="single" w:color="auto" w:sz="4" w:space="0"/>
                  </w:tcBorders>
                  <w:vAlign w:val="center"/>
                </w:tcPr>
                <w:p w14:paraId="60B617FC">
                  <w:pPr>
                    <w:adjustRightInd w:val="0"/>
                    <w:snapToGrid w:val="0"/>
                    <w:spacing w:after="50"/>
                    <w:jc w:val="center"/>
                    <w:rPr>
                      <w:rFonts w:ascii="宋体" w:hAnsi="宋体" w:eastAsia="宋体" w:cs="宋体"/>
                      <w:sz w:val="18"/>
                      <w:szCs w:val="18"/>
                    </w:rPr>
                  </w:pPr>
                  <w:r>
                    <w:rPr>
                      <w:rFonts w:hint="eastAsia" w:ascii="宋体" w:hAnsi="宋体" w:eastAsia="宋体" w:cs="宋体"/>
                      <w:sz w:val="18"/>
                      <w:szCs w:val="18"/>
                    </w:rPr>
                    <w:t>√</w:t>
                  </w:r>
                </w:p>
              </w:tc>
              <w:tc>
                <w:tcPr>
                  <w:tcW w:w="451" w:type="dxa"/>
                  <w:gridSpan w:val="2"/>
                  <w:tcBorders>
                    <w:top w:val="single" w:color="auto" w:sz="4" w:space="0"/>
                    <w:left w:val="single" w:color="auto" w:sz="4" w:space="0"/>
                    <w:bottom w:val="single" w:color="auto" w:sz="4" w:space="0"/>
                    <w:right w:val="single" w:color="auto" w:sz="4" w:space="0"/>
                  </w:tcBorders>
                  <w:vAlign w:val="center"/>
                </w:tcPr>
                <w:p w14:paraId="02723EC7">
                  <w:pPr>
                    <w:adjustRightInd w:val="0"/>
                    <w:snapToGrid w:val="0"/>
                    <w:spacing w:after="50"/>
                    <w:jc w:val="center"/>
                    <w:rPr>
                      <w:rFonts w:ascii="宋体" w:hAnsi="宋体" w:eastAsia="宋体" w:cs="宋体"/>
                      <w:sz w:val="18"/>
                      <w:szCs w:val="18"/>
                    </w:rPr>
                  </w:pPr>
                </w:p>
              </w:tc>
              <w:tc>
                <w:tcPr>
                  <w:tcW w:w="1713" w:type="dxa"/>
                  <w:gridSpan w:val="2"/>
                  <w:tcBorders>
                    <w:top w:val="single" w:color="auto" w:sz="4" w:space="0"/>
                    <w:left w:val="single" w:color="auto" w:sz="4" w:space="0"/>
                    <w:bottom w:val="single" w:color="auto" w:sz="4" w:space="0"/>
                    <w:right w:val="single" w:color="auto" w:sz="4" w:space="0"/>
                  </w:tcBorders>
                  <w:vAlign w:val="center"/>
                </w:tcPr>
                <w:p w14:paraId="0BBEBF3B">
                  <w:pPr>
                    <w:adjustRightInd w:val="0"/>
                    <w:snapToGrid w:val="0"/>
                    <w:spacing w:after="50"/>
                    <w:rPr>
                      <w:rFonts w:ascii="宋体" w:hAnsi="宋体" w:eastAsia="宋体" w:cs="宋体"/>
                      <w:sz w:val="18"/>
                      <w:szCs w:val="18"/>
                    </w:rPr>
                  </w:pPr>
                  <w:r>
                    <w:rPr>
                      <w:rFonts w:hint="eastAsia" w:ascii="宋体" w:hAnsi="宋体" w:eastAsia="宋体" w:cs="宋体"/>
                      <w:sz w:val="18"/>
                      <w:szCs w:val="18"/>
                    </w:rPr>
                    <w:t>分析国际收支平衡表中项目指标，判断盘面上国际收支存在的问题，总结在下一年政府应该如何调整</w:t>
                  </w:r>
                </w:p>
              </w:tc>
            </w:tr>
          </w:tbl>
          <w:p w14:paraId="29642B33">
            <w:pPr>
              <w:numPr>
                <w:ilvl w:val="1"/>
                <w:numId w:val="3"/>
              </w:numPr>
              <w:ind w:firstLine="422" w:firstLineChars="200"/>
              <w:rPr>
                <w:rFonts w:ascii="宋体" w:hAnsi="宋体" w:eastAsia="宋体" w:cs="宋体"/>
                <w:b/>
                <w:color w:val="000000"/>
                <w:kern w:val="0"/>
                <w:szCs w:val="21"/>
              </w:rPr>
            </w:pPr>
            <w:bookmarkStart w:id="0" w:name="_Toc21360"/>
            <w:r>
              <w:rPr>
                <w:rFonts w:hint="eastAsia" w:ascii="宋体" w:hAnsi="宋体" w:eastAsia="宋体" w:cs="宋体"/>
                <w:b/>
                <w:color w:val="000000"/>
                <w:kern w:val="0"/>
                <w:szCs w:val="21"/>
              </w:rPr>
              <w:t>综合效用分析</w:t>
            </w:r>
            <w:bookmarkEnd w:id="0"/>
          </w:p>
          <w:p w14:paraId="2318C421">
            <w:pPr>
              <w:ind w:firstLine="420" w:firstLineChars="200"/>
              <w:rPr>
                <w:rFonts w:ascii="宋体" w:hAnsi="宋体" w:eastAsia="宋体" w:cs="宋体"/>
                <w:szCs w:val="21"/>
              </w:rPr>
            </w:pPr>
            <w:r>
              <w:rPr>
                <w:rFonts w:hint="eastAsia" w:ascii="宋体" w:hAnsi="宋体" w:eastAsia="宋体" w:cs="宋体"/>
                <w:szCs w:val="21"/>
              </w:rPr>
              <w:t>建立起“双师型”教师队伍，推动实践教学模式，推动教学改革，提升老师对实践教学和厂商培训等方面能力。</w:t>
            </w:r>
          </w:p>
          <w:p w14:paraId="09450136">
            <w:pPr>
              <w:ind w:firstLine="420" w:firstLineChars="200"/>
              <w:rPr>
                <w:rFonts w:ascii="宋体" w:hAnsi="宋体" w:eastAsia="宋体" w:cs="宋体"/>
                <w:szCs w:val="21"/>
              </w:rPr>
            </w:pPr>
            <w:r>
              <w:rPr>
                <w:rFonts w:hint="eastAsia" w:ascii="宋体" w:hAnsi="宋体" w:eastAsia="宋体" w:cs="宋体"/>
                <w:szCs w:val="21"/>
              </w:rPr>
              <w:t>全面落实学院“应用型经济人才”培养，提供符合市场需求的应用型人才培养教学内容。完善实践型教学体系，提升教学质量，丰富实践教学内容，提升学院的整体品牌影响力，增强专业的吸引力。</w:t>
            </w:r>
          </w:p>
          <w:p w14:paraId="321502E0">
            <w:pPr>
              <w:ind w:firstLine="420" w:firstLineChars="200"/>
              <w:rPr>
                <w:rFonts w:ascii="宋体" w:hAnsi="宋体" w:eastAsia="宋体" w:cs="宋体"/>
                <w:szCs w:val="21"/>
              </w:rPr>
            </w:pPr>
            <w:r>
              <w:rPr>
                <w:rFonts w:hint="eastAsia" w:ascii="宋体" w:hAnsi="宋体" w:eastAsia="宋体" w:cs="宋体"/>
                <w:szCs w:val="21"/>
              </w:rPr>
              <w:t>提升科研学习能力：通过实训平台让教师和学生在体验中学习，能带动学生自主学习的积极性，尤其在实验中获取的大数据，能促进教师和学生对经济学相关科研成果进行验证与反思。</w:t>
            </w:r>
          </w:p>
          <w:p w14:paraId="495B30F6">
            <w:pPr>
              <w:ind w:firstLine="420" w:firstLineChars="200"/>
              <w:rPr>
                <w:rFonts w:ascii="宋体" w:hAnsi="宋体" w:eastAsia="宋体" w:cs="宋体"/>
                <w:szCs w:val="21"/>
              </w:rPr>
            </w:pPr>
            <w:r>
              <w:rPr>
                <w:rFonts w:hint="eastAsia" w:ascii="宋体" w:hAnsi="宋体" w:eastAsia="宋体" w:cs="宋体"/>
                <w:szCs w:val="21"/>
              </w:rPr>
              <w:t>提升应用型科研水平与能力：仿真实训室的构建与各项经济学实验项目开展，对当前应用经济学科下中国经济带特色经济数据库进行进一步打通和完善，对现代制造业、现代服务业经济环境提升、应用经济学科下师生科研水平和能力提升有积极作用。</w:t>
            </w:r>
          </w:p>
          <w:p w14:paraId="717DDF09">
            <w:pPr>
              <w:ind w:firstLine="420" w:firstLineChars="200"/>
              <w:rPr>
                <w:rFonts w:ascii="宋体" w:hAnsi="宋体" w:eastAsia="宋体" w:cs="宋体"/>
                <w:szCs w:val="21"/>
              </w:rPr>
            </w:pPr>
            <w:r>
              <w:rPr>
                <w:rFonts w:hint="eastAsia" w:ascii="宋体" w:hAnsi="宋体" w:eastAsia="宋体" w:cs="宋体"/>
                <w:szCs w:val="21"/>
              </w:rPr>
              <w:t>提升创新创业活动层次：除教学活动外，数字经济实验室（国际经济学综合决策仿真实验）系统可作为学生实践活动平台。例如作为指导参加全国经济学虚仿决策大赛与国内一流实验经济学专家学者一起交流、同台分享等。</w:t>
            </w:r>
          </w:p>
        </w:tc>
      </w:tr>
      <w:tr w14:paraId="752E2D73">
        <w:tblPrEx>
          <w:tblCellMar>
            <w:top w:w="0" w:type="dxa"/>
            <w:left w:w="108" w:type="dxa"/>
            <w:bottom w:w="0" w:type="dxa"/>
            <w:right w:w="108" w:type="dxa"/>
          </w:tblCellMar>
        </w:tblPrEx>
        <w:trPr>
          <w:trHeight w:val="298"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EB9DEF">
            <w:pPr>
              <w:widowControl/>
              <w:ind w:firstLine="315" w:firstLineChars="150"/>
              <w:jc w:val="left"/>
              <w:rPr>
                <w:rFonts w:ascii="宋体" w:hAnsi="宋体" w:eastAsia="宋体" w:cs="宋体"/>
                <w:kern w:val="0"/>
                <w:szCs w:val="21"/>
              </w:rPr>
            </w:pPr>
            <w:r>
              <w:rPr>
                <w:rFonts w:hint="eastAsia" w:ascii="宋体" w:hAnsi="宋体" w:eastAsia="宋体" w:cs="宋体"/>
                <w:kern w:val="0"/>
                <w:szCs w:val="21"/>
              </w:rPr>
              <w:t>项目主要内容</w:t>
            </w:r>
          </w:p>
          <w:p w14:paraId="3E1E9763">
            <w:pPr>
              <w:widowControl/>
              <w:ind w:firstLine="105" w:firstLineChars="50"/>
              <w:jc w:val="left"/>
              <w:rPr>
                <w:rFonts w:ascii="宋体" w:hAnsi="宋体" w:eastAsia="宋体" w:cs="宋体"/>
                <w:kern w:val="0"/>
                <w:szCs w:val="21"/>
              </w:rPr>
            </w:pPr>
            <w:r>
              <w:rPr>
                <w:rFonts w:hint="eastAsia" w:ascii="宋体" w:hAnsi="宋体" w:eastAsia="宋体" w:cs="宋体"/>
                <w:kern w:val="0"/>
                <w:szCs w:val="21"/>
              </w:rPr>
              <w:t>（不少于200字）</w:t>
            </w:r>
          </w:p>
        </w:tc>
        <w:tc>
          <w:tcPr>
            <w:tcW w:w="6587" w:type="dxa"/>
            <w:gridSpan w:val="3"/>
            <w:tcBorders>
              <w:top w:val="single" w:color="auto" w:sz="4" w:space="0"/>
              <w:left w:val="nil"/>
              <w:bottom w:val="single" w:color="auto" w:sz="4" w:space="0"/>
              <w:right w:val="single" w:color="auto" w:sz="4" w:space="0"/>
            </w:tcBorders>
            <w:shd w:val="clear" w:color="auto" w:fill="auto"/>
            <w:noWrap/>
            <w:vAlign w:val="center"/>
          </w:tcPr>
          <w:p w14:paraId="797BCECC">
            <w:pPr>
              <w:numPr>
                <w:ilvl w:val="1"/>
                <w:numId w:val="8"/>
              </w:numPr>
              <w:ind w:firstLine="422" w:firstLineChars="200"/>
              <w:rPr>
                <w:rFonts w:ascii="宋体" w:hAnsi="宋体" w:eastAsia="宋体" w:cs="宋体"/>
                <w:b/>
                <w:color w:val="000000"/>
                <w:kern w:val="0"/>
                <w:szCs w:val="21"/>
              </w:rPr>
            </w:pPr>
            <w:r>
              <w:rPr>
                <w:rFonts w:hint="eastAsia" w:ascii="宋体" w:hAnsi="宋体" w:eastAsia="宋体" w:cs="宋体"/>
                <w:b/>
                <w:color w:val="000000"/>
                <w:kern w:val="0"/>
                <w:szCs w:val="21"/>
              </w:rPr>
              <w:t>项目主要内容</w:t>
            </w:r>
          </w:p>
          <w:p w14:paraId="6008C0F1">
            <w:pPr>
              <w:numPr>
                <w:ilvl w:val="2"/>
                <w:numId w:val="9"/>
              </w:numPr>
              <w:rPr>
                <w:rFonts w:ascii="宋体" w:hAnsi="宋体" w:eastAsia="宋体" w:cs="宋体"/>
                <w:b/>
                <w:bCs/>
                <w:szCs w:val="21"/>
              </w:rPr>
            </w:pPr>
            <w:r>
              <w:rPr>
                <w:rFonts w:hint="eastAsia" w:ascii="宋体" w:hAnsi="宋体" w:eastAsia="宋体" w:cs="宋体"/>
                <w:b/>
                <w:bCs/>
                <w:szCs w:val="21"/>
              </w:rPr>
              <w:t>项目框架</w:t>
            </w:r>
          </w:p>
          <w:p w14:paraId="545C73DA">
            <w:pPr>
              <w:ind w:firstLine="420" w:firstLineChars="200"/>
              <w:rPr>
                <w:rFonts w:ascii="宋体" w:hAnsi="宋体" w:eastAsia="宋体" w:cs="宋体"/>
                <w:szCs w:val="21"/>
              </w:rPr>
            </w:pPr>
            <w:r>
              <w:rPr>
                <w:rFonts w:hint="eastAsia" w:ascii="宋体" w:hAnsi="宋体" w:eastAsia="宋体" w:cs="宋体"/>
                <w:szCs w:val="21"/>
              </w:rPr>
              <w:t>随着技术创新与制度创新的不断演变，在人类经济社会不断进步的同时，以国家为单位的国际关系也越来越密切，所涉及的范围也越来越广泛。通过国际贸易、投资以及资本流动等途径，各国经济之间的互相依赖程度在不断加强。</w:t>
            </w:r>
          </w:p>
          <w:p w14:paraId="514DF088">
            <w:pPr>
              <w:ind w:firstLine="420" w:firstLineChars="200"/>
              <w:rPr>
                <w:rFonts w:ascii="宋体" w:hAnsi="宋体" w:eastAsia="宋体" w:cs="宋体"/>
                <w:szCs w:val="21"/>
              </w:rPr>
            </w:pPr>
            <w:r>
              <w:rPr>
                <w:rFonts w:hint="eastAsia" w:ascii="宋体" w:hAnsi="宋体" w:eastAsia="宋体" w:cs="宋体"/>
                <w:szCs w:val="21"/>
              </w:rPr>
              <w:t>该课程通过角色扮演模拟在开放经济下世界范围内的资源配置问题和资源使用及管理机制，营造真实的经济环境，让学员体会现实生活中的国家之间经济行为，本课程集实战性、操作性、体验式于一体，通过情景模拟、角色实践的方法让学员体验国际贸易基础与政策，以及在开放经济下如何实现国际收支调节与平衡，让每个学员都有针对性的收获。</w:t>
            </w:r>
          </w:p>
          <w:p w14:paraId="1C83467A">
            <w:pPr>
              <w:ind w:firstLine="420" w:firstLineChars="200"/>
              <w:rPr>
                <w:rFonts w:ascii="宋体" w:hAnsi="宋体" w:eastAsia="宋体" w:cs="宋体"/>
                <w:szCs w:val="21"/>
              </w:rPr>
            </w:pPr>
            <w:r>
              <w:rPr>
                <w:rFonts w:hint="eastAsia" w:ascii="宋体" w:hAnsi="宋体" w:eastAsia="宋体" w:cs="宋体"/>
                <w:szCs w:val="21"/>
              </w:rPr>
              <w:t>该课程假定在开放经济下各国由产品市场和要素市场组成，其中，产品市场又包括消费品市场、原材料市场。在此实验中，汽车厂商代表消费品市场，钢铁厂商代表原材料市场，政府和消费者团队控制要素市场的供给。</w:t>
            </w:r>
          </w:p>
          <w:p w14:paraId="64784532">
            <w:pPr>
              <w:ind w:firstLine="420" w:firstLineChars="200"/>
              <w:jc w:val="left"/>
              <w:rPr>
                <w:rFonts w:ascii="宋体" w:hAnsi="宋体" w:eastAsia="宋体" w:cs="宋体"/>
                <w:szCs w:val="21"/>
              </w:rPr>
            </w:pPr>
            <w:r>
              <w:rPr>
                <w:rFonts w:hint="eastAsia" w:ascii="宋体" w:hAnsi="宋体" w:eastAsia="宋体" w:cs="宋体"/>
                <w:szCs w:val="21"/>
              </w:rPr>
              <w:drawing>
                <wp:inline distT="0" distB="0" distL="114300" distR="114300">
                  <wp:extent cx="3311525" cy="2044065"/>
                  <wp:effectExtent l="0" t="0" r="317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311525" cy="2044065"/>
                          </a:xfrm>
                          <a:prstGeom prst="rect">
                            <a:avLst/>
                          </a:prstGeom>
                          <a:noFill/>
                          <a:ln>
                            <a:noFill/>
                          </a:ln>
                        </pic:spPr>
                      </pic:pic>
                    </a:graphicData>
                  </a:graphic>
                </wp:inline>
              </w:drawing>
            </w:r>
          </w:p>
          <w:p w14:paraId="20549538">
            <w:pPr>
              <w:ind w:firstLine="420" w:firstLineChars="200"/>
              <w:rPr>
                <w:rFonts w:ascii="宋体" w:hAnsi="宋体" w:eastAsia="宋体" w:cs="宋体"/>
                <w:szCs w:val="21"/>
              </w:rPr>
            </w:pPr>
            <w:r>
              <w:rPr>
                <w:rFonts w:hint="eastAsia" w:ascii="宋体" w:hAnsi="宋体" w:eastAsia="宋体" w:cs="宋体"/>
                <w:szCs w:val="21"/>
              </w:rPr>
              <w:t>将全班分成各个小组（每组4-6人，可以容纳40-60位学生参加实验），每个小组分别扮演不同的国家，每个国家内部又包括政府、厂商团队角色。</w:t>
            </w:r>
          </w:p>
          <w:p w14:paraId="4F2764F1">
            <w:pPr>
              <w:ind w:firstLine="420" w:firstLineChars="200"/>
              <w:rPr>
                <w:rFonts w:ascii="宋体" w:hAnsi="宋体" w:eastAsia="宋体" w:cs="宋体"/>
                <w:szCs w:val="21"/>
              </w:rPr>
            </w:pPr>
            <w:r>
              <w:rPr>
                <w:rFonts w:hint="eastAsia" w:ascii="宋体" w:hAnsi="宋体" w:eastAsia="宋体" w:cs="宋体"/>
                <w:szCs w:val="21"/>
              </w:rPr>
              <w:t>政府角色分设央行行长、市场监管局长、统计局局长、外汇局局长、海关局局长。政府团队负责调控国际收支情况，增强在国际上的产品竞争力，如调控关税、设定汇率制度。各国可选择设立不同行业厂商，并由各同学负责具体运营，如国内外订单获取，进出口产品。</w:t>
            </w:r>
          </w:p>
          <w:p w14:paraId="66174D7B">
            <w:pPr>
              <w:ind w:firstLine="420" w:firstLineChars="200"/>
              <w:rPr>
                <w:rFonts w:ascii="宋体" w:hAnsi="宋体" w:eastAsia="宋体" w:cs="宋体"/>
                <w:szCs w:val="21"/>
              </w:rPr>
            </w:pPr>
            <w:r>
              <w:rPr>
                <w:rFonts w:hint="eastAsia" w:ascii="宋体" w:hAnsi="宋体" w:eastAsia="宋体" w:cs="宋体"/>
                <w:szCs w:val="21"/>
              </w:rPr>
              <w:t>各国政府主要任务引导厂商高效稳健地经营，推动产品的进出口业务，规避国际贸易经营风险与贸易壁垒。通过分析绝对优势和相对优势产品，各国厂商可以跨国交易产品，并受到政府汇率、宏观经济政策的调控。同时，政府团队通过调控关税、出口补贴等措施增强进出口行业国际竞争力。整个过程中，根据资本、劳动要素国际流动情况，分析各国需求结构，促进厂商技术创新，从而使政府调整跨国人才流动政策、国际金融政策、国际投资政策。经过一轮运营后，各国厂商分析经营业绩，各国政府统计经济数据，如国际收支平衡表各项目指标、国民生产总值，分析国际收支状况。</w:t>
            </w:r>
          </w:p>
          <w:p w14:paraId="1CB1596E">
            <w:pPr>
              <w:numPr>
                <w:ilvl w:val="2"/>
                <w:numId w:val="9"/>
              </w:numPr>
              <w:rPr>
                <w:rFonts w:ascii="宋体" w:hAnsi="宋体" w:eastAsia="宋体" w:cs="宋体"/>
                <w:b/>
                <w:color w:val="000000"/>
                <w:kern w:val="0"/>
                <w:szCs w:val="21"/>
              </w:rPr>
            </w:pPr>
            <w:bookmarkStart w:id="1" w:name="_Toc7776"/>
            <w:r>
              <w:rPr>
                <w:rFonts w:hint="eastAsia" w:ascii="宋体" w:hAnsi="宋体" w:eastAsia="宋体" w:cs="宋体"/>
                <w:b/>
                <w:color w:val="000000"/>
                <w:kern w:val="0"/>
                <w:szCs w:val="21"/>
              </w:rPr>
              <w:t>达到的教学目的</w:t>
            </w:r>
            <w:bookmarkEnd w:id="1"/>
          </w:p>
          <w:p w14:paraId="78A6DAE5">
            <w:pPr>
              <w:ind w:firstLine="420" w:firstLineChars="200"/>
              <w:rPr>
                <w:rFonts w:ascii="宋体" w:hAnsi="宋体" w:eastAsia="宋体" w:cs="宋体"/>
                <w:szCs w:val="21"/>
              </w:rPr>
            </w:pPr>
            <w:r>
              <w:rPr>
                <w:rFonts w:hint="eastAsia" w:ascii="宋体" w:hAnsi="宋体" w:eastAsia="宋体" w:cs="宋体"/>
                <w:szCs w:val="21"/>
              </w:rPr>
              <w:t>理解国际贸易的基础，在开放经济下绝对优势和比较优势理论的分析方法，提高进出口行业竞争力；</w:t>
            </w:r>
          </w:p>
          <w:p w14:paraId="015A0BA8">
            <w:pPr>
              <w:ind w:firstLine="420" w:firstLineChars="200"/>
              <w:rPr>
                <w:rFonts w:ascii="宋体" w:hAnsi="宋体" w:eastAsia="宋体" w:cs="宋体"/>
                <w:szCs w:val="21"/>
              </w:rPr>
            </w:pPr>
            <w:r>
              <w:rPr>
                <w:rFonts w:hint="eastAsia" w:ascii="宋体" w:hAnsi="宋体" w:eastAsia="宋体" w:cs="宋体"/>
                <w:szCs w:val="21"/>
              </w:rPr>
              <w:t>掌握各国在产品市场和要素市场的组成与特征，以及各行业要素密集度；</w:t>
            </w:r>
          </w:p>
          <w:p w14:paraId="37CB3273">
            <w:pPr>
              <w:ind w:firstLine="420" w:firstLineChars="200"/>
              <w:rPr>
                <w:rFonts w:ascii="宋体" w:hAnsi="宋体" w:eastAsia="宋体" w:cs="宋体"/>
                <w:szCs w:val="21"/>
              </w:rPr>
            </w:pPr>
            <w:r>
              <w:rPr>
                <w:rFonts w:hint="eastAsia" w:ascii="宋体" w:hAnsi="宋体" w:eastAsia="宋体" w:cs="宋体"/>
                <w:szCs w:val="21"/>
              </w:rPr>
              <w:t>掌握在国际贸易中不完全竞争市场的应对策略；</w:t>
            </w:r>
          </w:p>
          <w:p w14:paraId="7F6D917F">
            <w:pPr>
              <w:ind w:firstLine="420" w:firstLineChars="200"/>
              <w:rPr>
                <w:rFonts w:ascii="宋体" w:hAnsi="宋体" w:eastAsia="宋体" w:cs="宋体"/>
                <w:szCs w:val="21"/>
              </w:rPr>
            </w:pPr>
            <w:r>
              <w:rPr>
                <w:rFonts w:hint="eastAsia" w:ascii="宋体" w:hAnsi="宋体" w:eastAsia="宋体" w:cs="宋体"/>
                <w:szCs w:val="21"/>
              </w:rPr>
              <w:t>掌握博弈策略在不同环境下的应用，如在关税、非关税壁垒等贸易保护情况下如何博弈；</w:t>
            </w:r>
          </w:p>
          <w:p w14:paraId="4B2143B4">
            <w:pPr>
              <w:ind w:firstLine="420" w:firstLineChars="200"/>
              <w:rPr>
                <w:rFonts w:ascii="宋体" w:hAnsi="宋体" w:eastAsia="宋体" w:cs="宋体"/>
                <w:szCs w:val="21"/>
              </w:rPr>
            </w:pPr>
            <w:r>
              <w:rPr>
                <w:rFonts w:hint="eastAsia" w:ascii="宋体" w:hAnsi="宋体" w:eastAsia="宋体" w:cs="宋体"/>
                <w:szCs w:val="21"/>
              </w:rPr>
              <w:t>理解各项经济指标如何影响国际收支，以及各项指标如何调节国际收支平衡；</w:t>
            </w:r>
          </w:p>
          <w:p w14:paraId="2A57AE69">
            <w:pPr>
              <w:ind w:firstLine="420" w:firstLineChars="200"/>
              <w:rPr>
                <w:rFonts w:ascii="宋体" w:hAnsi="宋体" w:eastAsia="宋体" w:cs="宋体"/>
                <w:szCs w:val="21"/>
              </w:rPr>
            </w:pPr>
            <w:r>
              <w:rPr>
                <w:rFonts w:hint="eastAsia" w:ascii="宋体" w:hAnsi="宋体" w:eastAsia="宋体" w:cs="宋体"/>
                <w:szCs w:val="21"/>
              </w:rPr>
              <w:t>理解在开放经济下财政政策、货币政策和汇率对厂商经营的影响；</w:t>
            </w:r>
          </w:p>
          <w:p w14:paraId="23A12E96">
            <w:pPr>
              <w:ind w:firstLine="420" w:firstLineChars="200"/>
              <w:rPr>
                <w:rFonts w:ascii="宋体" w:hAnsi="宋体" w:eastAsia="宋体" w:cs="宋体"/>
                <w:szCs w:val="21"/>
              </w:rPr>
            </w:pPr>
            <w:r>
              <w:rPr>
                <w:rFonts w:hint="eastAsia" w:ascii="宋体" w:hAnsi="宋体" w:eastAsia="宋体" w:cs="宋体"/>
                <w:szCs w:val="21"/>
              </w:rPr>
              <w:t>理解政府的各项经济监管政策，监管市场需求结构、技术变化对国际贸易带来的影响；</w:t>
            </w:r>
          </w:p>
          <w:p w14:paraId="01283060">
            <w:pPr>
              <w:ind w:firstLine="420" w:firstLineChars="200"/>
              <w:rPr>
                <w:rFonts w:ascii="宋体" w:hAnsi="宋体" w:eastAsia="宋体" w:cs="宋体"/>
                <w:szCs w:val="21"/>
              </w:rPr>
            </w:pPr>
            <w:r>
              <w:rPr>
                <w:rFonts w:hint="eastAsia" w:ascii="宋体" w:hAnsi="宋体" w:eastAsia="宋体" w:cs="宋体"/>
                <w:szCs w:val="21"/>
              </w:rPr>
              <w:t>理解在现实当中国际要素如何流动，以及跨国直接投资对厂商的影响；</w:t>
            </w:r>
          </w:p>
          <w:p w14:paraId="14F614BF">
            <w:pPr>
              <w:ind w:firstLine="420" w:firstLineChars="200"/>
              <w:rPr>
                <w:rFonts w:ascii="宋体" w:hAnsi="宋体" w:eastAsia="宋体" w:cs="宋体"/>
                <w:szCs w:val="21"/>
              </w:rPr>
            </w:pPr>
            <w:r>
              <w:rPr>
                <w:rFonts w:hint="eastAsia" w:ascii="宋体" w:hAnsi="宋体" w:eastAsia="宋体" w:cs="宋体"/>
                <w:szCs w:val="21"/>
              </w:rPr>
              <w:t>掌握以上核心国际经济理论与相关模型在现实生活中的应用，如现实中的国际间的</w:t>
            </w:r>
            <w:r>
              <w:rPr>
                <w:rFonts w:hint="eastAsia" w:ascii="宋体" w:hAnsi="宋体" w:eastAsia="宋体" w:cs="宋体"/>
                <w:szCs w:val="21"/>
                <w:lang w:eastAsia="zh-CN"/>
              </w:rPr>
              <w:t>贸易战</w:t>
            </w:r>
            <w:r>
              <w:rPr>
                <w:rFonts w:hint="eastAsia" w:ascii="宋体" w:hAnsi="宋体" w:eastAsia="宋体" w:cs="宋体"/>
                <w:szCs w:val="21"/>
              </w:rPr>
              <w:t>、科技战、金融战；</w:t>
            </w:r>
          </w:p>
          <w:p w14:paraId="283514D8">
            <w:pPr>
              <w:numPr>
                <w:ilvl w:val="2"/>
                <w:numId w:val="9"/>
              </w:numPr>
              <w:rPr>
                <w:rFonts w:ascii="宋体" w:hAnsi="宋体" w:eastAsia="宋体" w:cs="宋体"/>
                <w:b/>
                <w:bCs/>
                <w:szCs w:val="21"/>
              </w:rPr>
            </w:pPr>
            <w:r>
              <w:rPr>
                <w:rFonts w:hint="eastAsia" w:ascii="宋体" w:hAnsi="宋体" w:eastAsia="宋体" w:cs="宋体"/>
                <w:b/>
                <w:bCs/>
                <w:szCs w:val="21"/>
              </w:rPr>
              <w:t>实验内容</w:t>
            </w:r>
          </w:p>
          <w:p w14:paraId="339619D8">
            <w:pPr>
              <w:ind w:firstLine="420" w:firstLineChars="200"/>
              <w:rPr>
                <w:rFonts w:ascii="宋体" w:hAnsi="宋体" w:eastAsia="宋体" w:cs="宋体"/>
                <w:szCs w:val="21"/>
              </w:rPr>
            </w:pPr>
            <w:r>
              <w:rPr>
                <w:rFonts w:hint="eastAsia" w:ascii="宋体" w:hAnsi="宋体" w:eastAsia="宋体" w:cs="宋体"/>
                <w:szCs w:val="21"/>
              </w:rPr>
              <w:t>本次实验内容与项目涵盖八大单元，包括：</w:t>
            </w:r>
          </w:p>
          <w:p w14:paraId="6BB2707A">
            <w:pPr>
              <w:numPr>
                <w:ilvl w:val="0"/>
                <w:numId w:val="10"/>
              </w:numPr>
              <w:rPr>
                <w:rFonts w:ascii="宋体" w:hAnsi="宋体" w:eastAsia="宋体" w:cs="宋体"/>
                <w:szCs w:val="21"/>
              </w:rPr>
            </w:pPr>
            <w:r>
              <w:rPr>
                <w:rFonts w:hint="eastAsia" w:ascii="宋体" w:hAnsi="宋体" w:eastAsia="宋体" w:cs="宋体"/>
                <w:szCs w:val="21"/>
              </w:rPr>
              <w:t>比较优势与绝对优势理论实验</w:t>
            </w:r>
          </w:p>
          <w:p w14:paraId="11CC500A">
            <w:pPr>
              <w:numPr>
                <w:ilvl w:val="0"/>
                <w:numId w:val="10"/>
              </w:numPr>
              <w:rPr>
                <w:rFonts w:ascii="宋体" w:hAnsi="宋体" w:eastAsia="宋体" w:cs="宋体"/>
                <w:szCs w:val="21"/>
              </w:rPr>
            </w:pPr>
            <w:r>
              <w:rPr>
                <w:rFonts w:hint="eastAsia" w:ascii="宋体" w:hAnsi="宋体" w:eastAsia="宋体" w:cs="宋体"/>
                <w:szCs w:val="21"/>
              </w:rPr>
              <w:t>要素禀赋理论实验</w:t>
            </w:r>
          </w:p>
          <w:p w14:paraId="0F90A6D9">
            <w:pPr>
              <w:numPr>
                <w:ilvl w:val="0"/>
                <w:numId w:val="10"/>
              </w:numPr>
              <w:rPr>
                <w:rFonts w:ascii="宋体" w:hAnsi="宋体" w:eastAsia="宋体" w:cs="宋体"/>
                <w:szCs w:val="21"/>
              </w:rPr>
            </w:pPr>
            <w:r>
              <w:rPr>
                <w:rFonts w:hint="eastAsia" w:ascii="宋体" w:hAnsi="宋体" w:eastAsia="宋体" w:cs="宋体"/>
                <w:szCs w:val="21"/>
              </w:rPr>
              <w:t>需求、技术变化与国际贸易实验</w:t>
            </w:r>
          </w:p>
          <w:p w14:paraId="281C1515">
            <w:pPr>
              <w:numPr>
                <w:ilvl w:val="0"/>
                <w:numId w:val="10"/>
              </w:numPr>
              <w:rPr>
                <w:rFonts w:ascii="宋体" w:hAnsi="宋体" w:eastAsia="宋体" w:cs="宋体"/>
                <w:szCs w:val="21"/>
              </w:rPr>
            </w:pPr>
            <w:r>
              <w:rPr>
                <w:rFonts w:hint="eastAsia" w:ascii="宋体" w:hAnsi="宋体" w:eastAsia="宋体" w:cs="宋体"/>
                <w:szCs w:val="21"/>
              </w:rPr>
              <w:t>规模经济、垄断与国际贸易实验</w:t>
            </w:r>
          </w:p>
          <w:p w14:paraId="50783D47">
            <w:pPr>
              <w:numPr>
                <w:ilvl w:val="0"/>
                <w:numId w:val="10"/>
              </w:numPr>
              <w:rPr>
                <w:rFonts w:ascii="宋体" w:hAnsi="宋体" w:eastAsia="宋体" w:cs="宋体"/>
                <w:szCs w:val="21"/>
              </w:rPr>
            </w:pPr>
            <w:r>
              <w:rPr>
                <w:rFonts w:hint="eastAsia" w:ascii="宋体" w:hAnsi="宋体" w:eastAsia="宋体" w:cs="宋体"/>
                <w:szCs w:val="21"/>
              </w:rPr>
              <w:t>关税、非关税壁垒与贸易保护实验</w:t>
            </w:r>
          </w:p>
          <w:p w14:paraId="47A4F6EF">
            <w:pPr>
              <w:numPr>
                <w:ilvl w:val="0"/>
                <w:numId w:val="10"/>
              </w:numPr>
              <w:rPr>
                <w:rFonts w:ascii="宋体" w:hAnsi="宋体" w:eastAsia="宋体" w:cs="宋体"/>
                <w:szCs w:val="21"/>
              </w:rPr>
            </w:pPr>
            <w:r>
              <w:rPr>
                <w:rFonts w:hint="eastAsia" w:ascii="宋体" w:hAnsi="宋体" w:eastAsia="宋体" w:cs="宋体"/>
                <w:szCs w:val="21"/>
              </w:rPr>
              <w:t>国际要素流动与跨国直接投资实验</w:t>
            </w:r>
          </w:p>
          <w:p w14:paraId="66B4306C">
            <w:pPr>
              <w:numPr>
                <w:ilvl w:val="0"/>
                <w:numId w:val="10"/>
              </w:numPr>
              <w:rPr>
                <w:rFonts w:ascii="宋体" w:hAnsi="宋体" w:eastAsia="宋体" w:cs="宋体"/>
                <w:szCs w:val="21"/>
              </w:rPr>
            </w:pPr>
            <w:r>
              <w:rPr>
                <w:rFonts w:hint="eastAsia" w:ascii="宋体" w:hAnsi="宋体" w:eastAsia="宋体" w:cs="宋体"/>
                <w:szCs w:val="21"/>
              </w:rPr>
              <w:t>汇率决定与开放经济的宏观政策实验</w:t>
            </w:r>
          </w:p>
          <w:p w14:paraId="41B0C60E">
            <w:pPr>
              <w:numPr>
                <w:ilvl w:val="0"/>
                <w:numId w:val="10"/>
              </w:numPr>
              <w:rPr>
                <w:rFonts w:ascii="宋体" w:hAnsi="宋体" w:eastAsia="宋体" w:cs="宋体"/>
                <w:szCs w:val="21"/>
              </w:rPr>
            </w:pPr>
            <w:r>
              <w:rPr>
                <w:rFonts w:hint="eastAsia" w:ascii="宋体" w:hAnsi="宋体" w:eastAsia="宋体" w:cs="宋体"/>
                <w:szCs w:val="21"/>
              </w:rPr>
              <w:t>国际收支调整与平衡实验</w:t>
            </w:r>
          </w:p>
          <w:p w14:paraId="3FE1BDC8">
            <w:pPr>
              <w:numPr>
                <w:ilvl w:val="3"/>
                <w:numId w:val="8"/>
              </w:numPr>
              <w:rPr>
                <w:rFonts w:ascii="宋体" w:hAnsi="宋体" w:eastAsia="宋体" w:cs="宋体"/>
                <w:b/>
                <w:color w:val="000000"/>
                <w:kern w:val="0"/>
                <w:szCs w:val="21"/>
              </w:rPr>
            </w:pPr>
            <w:bookmarkStart w:id="2" w:name="_Toc15862"/>
            <w:r>
              <w:rPr>
                <w:rFonts w:hint="eastAsia" w:ascii="宋体" w:hAnsi="宋体" w:eastAsia="宋体" w:cs="宋体"/>
                <w:b/>
                <w:color w:val="000000"/>
                <w:kern w:val="0"/>
                <w:szCs w:val="21"/>
              </w:rPr>
              <w:t>比较优势与绝对优势理论实验</w:t>
            </w:r>
            <w:bookmarkEnd w:id="2"/>
          </w:p>
          <w:p w14:paraId="127DC190">
            <w:pPr>
              <w:jc w:val="center"/>
              <w:rPr>
                <w:rFonts w:ascii="宋体" w:hAnsi="宋体" w:eastAsia="宋体" w:cs="宋体"/>
                <w:szCs w:val="21"/>
              </w:rPr>
            </w:pPr>
            <w:r>
              <w:rPr>
                <w:rFonts w:hint="eastAsia" w:ascii="宋体" w:hAnsi="宋体" w:eastAsia="宋体" w:cs="宋体"/>
                <w:szCs w:val="21"/>
              </w:rPr>
              <w:t>表1 比较优势与绝对优势理论实验项目</w:t>
            </w:r>
          </w:p>
          <w:tbl>
            <w:tblPr>
              <w:tblStyle w:val="12"/>
              <w:tblW w:w="6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019"/>
              <w:gridCol w:w="2991"/>
              <w:gridCol w:w="1366"/>
            </w:tblGrid>
            <w:tr w14:paraId="2CAE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83" w:type="dxa"/>
                  <w:shd w:val="clear" w:color="auto" w:fill="E6E6E6"/>
                  <w:vAlign w:val="center"/>
                </w:tcPr>
                <w:p w14:paraId="67B6D091">
                  <w:pPr>
                    <w:pStyle w:val="6"/>
                    <w:jc w:val="center"/>
                    <w:rPr>
                      <w:rFonts w:hAnsi="宋体" w:eastAsia="宋体" w:cs="宋体"/>
                      <w:sz w:val="18"/>
                      <w:szCs w:val="18"/>
                    </w:rPr>
                  </w:pPr>
                  <w:r>
                    <w:rPr>
                      <w:rFonts w:hint="eastAsia" w:hAnsi="宋体" w:eastAsia="宋体" w:cs="宋体"/>
                      <w:sz w:val="18"/>
                      <w:szCs w:val="18"/>
                    </w:rPr>
                    <w:t>一级模块</w:t>
                  </w:r>
                </w:p>
              </w:tc>
              <w:tc>
                <w:tcPr>
                  <w:tcW w:w="1019" w:type="dxa"/>
                  <w:shd w:val="clear" w:color="auto" w:fill="E6E6E6"/>
                  <w:vAlign w:val="center"/>
                </w:tcPr>
                <w:p w14:paraId="5C6B3CBD">
                  <w:pPr>
                    <w:pStyle w:val="6"/>
                    <w:jc w:val="center"/>
                    <w:rPr>
                      <w:rFonts w:hAnsi="宋体" w:eastAsia="宋体" w:cs="宋体"/>
                      <w:sz w:val="18"/>
                      <w:szCs w:val="18"/>
                    </w:rPr>
                  </w:pPr>
                  <w:r>
                    <w:rPr>
                      <w:rFonts w:hint="eastAsia" w:hAnsi="宋体" w:eastAsia="宋体" w:cs="宋体"/>
                      <w:sz w:val="18"/>
                      <w:szCs w:val="18"/>
                    </w:rPr>
                    <w:t>二级模块</w:t>
                  </w:r>
                </w:p>
              </w:tc>
              <w:tc>
                <w:tcPr>
                  <w:tcW w:w="2991" w:type="dxa"/>
                  <w:shd w:val="clear" w:color="auto" w:fill="E6E6E6"/>
                  <w:vAlign w:val="center"/>
                </w:tcPr>
                <w:p w14:paraId="698B2449">
                  <w:pPr>
                    <w:pStyle w:val="6"/>
                    <w:jc w:val="center"/>
                    <w:rPr>
                      <w:rFonts w:hAnsi="宋体" w:eastAsia="宋体" w:cs="宋体"/>
                      <w:sz w:val="18"/>
                      <w:szCs w:val="18"/>
                    </w:rPr>
                  </w:pPr>
                  <w:r>
                    <w:rPr>
                      <w:rFonts w:hint="eastAsia" w:hAnsi="宋体" w:eastAsia="宋体" w:cs="宋体"/>
                      <w:sz w:val="18"/>
                      <w:szCs w:val="18"/>
                    </w:rPr>
                    <w:t>实验项目名称</w:t>
                  </w:r>
                </w:p>
              </w:tc>
              <w:tc>
                <w:tcPr>
                  <w:tcW w:w="1366" w:type="dxa"/>
                  <w:shd w:val="clear" w:color="auto" w:fill="E6E6E6"/>
                  <w:vAlign w:val="center"/>
                </w:tcPr>
                <w:p w14:paraId="5779EE32">
                  <w:pPr>
                    <w:pStyle w:val="6"/>
                    <w:jc w:val="center"/>
                    <w:rPr>
                      <w:rFonts w:hAnsi="宋体" w:eastAsia="宋体" w:cs="宋体"/>
                      <w:sz w:val="18"/>
                      <w:szCs w:val="18"/>
                    </w:rPr>
                  </w:pPr>
                  <w:r>
                    <w:rPr>
                      <w:rFonts w:hint="eastAsia" w:hAnsi="宋体" w:eastAsia="宋体" w:cs="宋体"/>
                      <w:sz w:val="18"/>
                      <w:szCs w:val="18"/>
                    </w:rPr>
                    <w:t>涉及知识点</w:t>
                  </w:r>
                </w:p>
              </w:tc>
            </w:tr>
            <w:tr w14:paraId="5253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83" w:type="dxa"/>
                  <w:vMerge w:val="restart"/>
                  <w:vAlign w:val="center"/>
                </w:tcPr>
                <w:p w14:paraId="2C58D8FC">
                  <w:pPr>
                    <w:pStyle w:val="6"/>
                    <w:rPr>
                      <w:rFonts w:hAnsi="宋体" w:eastAsia="宋体" w:cs="宋体"/>
                      <w:sz w:val="18"/>
                      <w:szCs w:val="18"/>
                    </w:rPr>
                  </w:pPr>
                  <w:r>
                    <w:rPr>
                      <w:rFonts w:hint="eastAsia" w:hAnsi="宋体" w:eastAsia="宋体" w:cs="宋体"/>
                      <w:sz w:val="18"/>
                      <w:szCs w:val="18"/>
                    </w:rPr>
                    <w:t>比较优势与绝对优势理论实验</w:t>
                  </w:r>
                </w:p>
              </w:tc>
              <w:tc>
                <w:tcPr>
                  <w:tcW w:w="1019" w:type="dxa"/>
                  <w:vAlign w:val="center"/>
                </w:tcPr>
                <w:p w14:paraId="258A15BC">
                  <w:pPr>
                    <w:pStyle w:val="6"/>
                    <w:rPr>
                      <w:rFonts w:hAnsi="宋体" w:eastAsia="宋体" w:cs="宋体"/>
                      <w:sz w:val="18"/>
                      <w:szCs w:val="18"/>
                    </w:rPr>
                  </w:pPr>
                  <w:r>
                    <w:rPr>
                      <w:rFonts w:hint="eastAsia" w:hAnsi="宋体" w:eastAsia="宋体" w:cs="宋体"/>
                      <w:sz w:val="18"/>
                      <w:szCs w:val="18"/>
                    </w:rPr>
                    <w:t>经济环境设立</w:t>
                  </w:r>
                </w:p>
              </w:tc>
              <w:tc>
                <w:tcPr>
                  <w:tcW w:w="2991" w:type="dxa"/>
                  <w:vAlign w:val="center"/>
                </w:tcPr>
                <w:p w14:paraId="09A8BFFA">
                  <w:pPr>
                    <w:pStyle w:val="6"/>
                    <w:rPr>
                      <w:rFonts w:hAnsi="宋体" w:eastAsia="宋体" w:cs="宋体"/>
                      <w:sz w:val="18"/>
                      <w:szCs w:val="18"/>
                    </w:rPr>
                  </w:pPr>
                  <w:r>
                    <w:rPr>
                      <w:rFonts w:hint="eastAsia" w:hAnsi="宋体" w:eastAsia="宋体" w:cs="宋体"/>
                      <w:sz w:val="18"/>
                      <w:szCs w:val="18"/>
                    </w:rPr>
                    <w:t>设立国家，组建各国政府、国家内部分工，分别担任政府、厂商角色</w:t>
                  </w:r>
                </w:p>
              </w:tc>
              <w:tc>
                <w:tcPr>
                  <w:tcW w:w="1366" w:type="dxa"/>
                  <w:vMerge w:val="restart"/>
                  <w:vAlign w:val="center"/>
                </w:tcPr>
                <w:p w14:paraId="635DCA25">
                  <w:pPr>
                    <w:jc w:val="center"/>
                    <w:rPr>
                      <w:rFonts w:ascii="宋体" w:hAnsi="宋体" w:eastAsia="宋体" w:cs="宋体"/>
                      <w:sz w:val="18"/>
                      <w:szCs w:val="18"/>
                    </w:rPr>
                  </w:pPr>
                  <w:r>
                    <w:rPr>
                      <w:rFonts w:hint="eastAsia" w:ascii="宋体" w:hAnsi="宋体" w:eastAsia="宋体" w:cs="宋体"/>
                      <w:sz w:val="18"/>
                      <w:szCs w:val="18"/>
                    </w:rPr>
                    <w:t>重商主义</w:t>
                  </w:r>
                </w:p>
                <w:p w14:paraId="1A30F15A">
                  <w:pPr>
                    <w:jc w:val="center"/>
                    <w:rPr>
                      <w:rFonts w:ascii="宋体" w:hAnsi="宋体" w:eastAsia="宋体" w:cs="宋体"/>
                      <w:sz w:val="18"/>
                      <w:szCs w:val="18"/>
                    </w:rPr>
                  </w:pPr>
                  <w:r>
                    <w:rPr>
                      <w:rFonts w:hint="eastAsia" w:ascii="宋体" w:hAnsi="宋体" w:eastAsia="宋体" w:cs="宋体"/>
                      <w:sz w:val="18"/>
                      <w:szCs w:val="18"/>
                    </w:rPr>
                    <w:t>劳动生产率</w:t>
                  </w:r>
                </w:p>
                <w:p w14:paraId="1E7CF78C">
                  <w:pPr>
                    <w:jc w:val="center"/>
                    <w:rPr>
                      <w:rFonts w:ascii="宋体" w:hAnsi="宋体" w:eastAsia="宋体" w:cs="宋体"/>
                      <w:sz w:val="18"/>
                      <w:szCs w:val="18"/>
                    </w:rPr>
                  </w:pPr>
                  <w:r>
                    <w:rPr>
                      <w:rFonts w:hint="eastAsia" w:ascii="宋体" w:hAnsi="宋体" w:eastAsia="宋体" w:cs="宋体"/>
                      <w:sz w:val="18"/>
                      <w:szCs w:val="18"/>
                    </w:rPr>
                    <w:t xml:space="preserve">比较优势与绝对优势理论及分析方法                                                                                                                                                                                                                                                                                                                                                                                                                                                                                                                                                                                                                                                                                                                                                                                                                                                                                                                                                                                                                                                                                                                                                                                                                                                                                                                                                                                                                                                                                                                                                                                                                                                                                                                                                                                                                                                                                                                                                                                                                                                                                                                                                                                                                                                                                                                                                                                                                                                                                                                                                                                                                                                                                                                                                                                                                                                                                                                                                                                                                                                                                                                                                                                                                                                                                                                                                                                                                                                                                                                                                                                                                                                                                                                                                                                                                                                                                                                                                                                                                                                                                                                                                                                                </w:t>
                  </w:r>
                  <w:r>
                    <w:rPr>
                      <w:rFonts w:hint="eastAsia" w:ascii="宋体" w:hAnsi="宋体" w:eastAsia="宋体" w:cs="宋体"/>
                      <w:sz w:val="18"/>
                      <w:szCs w:val="18"/>
                    </w:rPr>
                    <w:t xml:space="preserve">                                                                                                                                                                                                                                                                                                                                                                                                                                                                                                                                                                                                                                                                                                                                                                                                                                                                                                                                                                                                                                                                                                                                                                                                                                                                                                                                                                                                                                                                                                                                                                                                                                                                                                                                                                                                                                                                                                                                                                                                                                                                                                                                                                                                                                                                                                                                                                                                                                                                                                                                                                                                                                                                                                                                                                                                                                                                                                                                                                                                                                                                                                                                                                                                                                                                                                                                                                                                                                                                                                                                                                                                                                                                                                                                                                                                                                                                                                                                                                                                                                                                                                                                                                                                                </w:t>
                  </w:r>
                  <w:r>
                    <w:rPr>
                      <w:rFonts w:hint="eastAsia" w:ascii="宋体" w:hAnsi="宋体" w:eastAsia="宋体" w:cs="宋体"/>
                      <w:sz w:val="18"/>
                      <w:szCs w:val="18"/>
                    </w:rPr>
                    <w:t xml:space="preserve">                                                                                                                                                                                                                                                                                                                                                                                                                                                                                                                                                                                                                                                                                                                                                                                                                                                                                                                                                                                                                                                                                                                                                                                                                                                                                                                                                                                                                                                                                                                                                                                                                                                                                                                                                                                                                                                                                                                                                                                                                                                                                                                                                                                                                                                                                                                                                                                                                                                                                                                                                                                                                                                                                                                                                                                                                                                                                                                                                                                                                                                                                                                                                                                                                                                                                                                                                                                                                                                                                                                                                                                                                                                                                                                                                                                                                                                                                                                                                                                </w:t>
                  </w:r>
                </w:p>
              </w:tc>
            </w:tr>
            <w:tr w14:paraId="07EE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3" w:type="dxa"/>
                  <w:vMerge w:val="continue"/>
                  <w:vAlign w:val="center"/>
                </w:tcPr>
                <w:p w14:paraId="1EAE9815">
                  <w:pPr>
                    <w:pStyle w:val="6"/>
                    <w:rPr>
                      <w:rFonts w:hAnsi="宋体" w:eastAsia="宋体" w:cs="宋体"/>
                      <w:sz w:val="18"/>
                      <w:szCs w:val="18"/>
                    </w:rPr>
                  </w:pPr>
                </w:p>
              </w:tc>
              <w:tc>
                <w:tcPr>
                  <w:tcW w:w="1019" w:type="dxa"/>
                  <w:vAlign w:val="center"/>
                </w:tcPr>
                <w:p w14:paraId="790A7863">
                  <w:pPr>
                    <w:pStyle w:val="6"/>
                    <w:rPr>
                      <w:rFonts w:hAnsi="宋体" w:eastAsia="宋体" w:cs="宋体"/>
                      <w:sz w:val="18"/>
                      <w:szCs w:val="18"/>
                    </w:rPr>
                  </w:pPr>
                  <w:r>
                    <w:rPr>
                      <w:rFonts w:hint="eastAsia" w:hAnsi="宋体" w:eastAsia="宋体" w:cs="宋体"/>
                      <w:sz w:val="18"/>
                      <w:szCs w:val="18"/>
                    </w:rPr>
                    <w:t>导入培训</w:t>
                  </w:r>
                </w:p>
              </w:tc>
              <w:tc>
                <w:tcPr>
                  <w:tcW w:w="2991" w:type="dxa"/>
                  <w:vAlign w:val="center"/>
                </w:tcPr>
                <w:p w14:paraId="4D4F8401">
                  <w:pPr>
                    <w:pStyle w:val="6"/>
                    <w:rPr>
                      <w:rFonts w:hAnsi="宋体" w:eastAsia="宋体" w:cs="宋体"/>
                      <w:bCs/>
                      <w:iCs/>
                      <w:spacing w:val="10"/>
                      <w:sz w:val="18"/>
                      <w:szCs w:val="18"/>
                    </w:rPr>
                  </w:pPr>
                  <w:r>
                    <w:rPr>
                      <w:rFonts w:hint="eastAsia" w:hAnsi="宋体" w:eastAsia="宋体" w:cs="宋体"/>
                      <w:sz w:val="18"/>
                      <w:szCs w:val="18"/>
                    </w:rPr>
                    <w:t>理解关税、汇率、国家经济、国际贸易之间关系</w:t>
                  </w:r>
                </w:p>
              </w:tc>
              <w:tc>
                <w:tcPr>
                  <w:tcW w:w="1366" w:type="dxa"/>
                  <w:vMerge w:val="continue"/>
                  <w:vAlign w:val="center"/>
                </w:tcPr>
                <w:p w14:paraId="2AEB8DC5">
                  <w:pPr>
                    <w:pStyle w:val="6"/>
                    <w:jc w:val="center"/>
                    <w:rPr>
                      <w:rFonts w:hAnsi="宋体" w:eastAsia="宋体" w:cs="宋体"/>
                      <w:sz w:val="18"/>
                      <w:szCs w:val="18"/>
                    </w:rPr>
                  </w:pPr>
                </w:p>
              </w:tc>
            </w:tr>
            <w:tr w14:paraId="12F4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983" w:type="dxa"/>
                  <w:vMerge w:val="continue"/>
                  <w:vAlign w:val="center"/>
                </w:tcPr>
                <w:p w14:paraId="498EF677">
                  <w:pPr>
                    <w:pStyle w:val="6"/>
                    <w:rPr>
                      <w:rFonts w:hAnsi="宋体" w:eastAsia="宋体" w:cs="宋体"/>
                      <w:sz w:val="18"/>
                      <w:szCs w:val="18"/>
                    </w:rPr>
                  </w:pPr>
                </w:p>
              </w:tc>
              <w:tc>
                <w:tcPr>
                  <w:tcW w:w="1019" w:type="dxa"/>
                  <w:vMerge w:val="restart"/>
                  <w:vAlign w:val="center"/>
                </w:tcPr>
                <w:p w14:paraId="02E4D212">
                  <w:pPr>
                    <w:pStyle w:val="6"/>
                    <w:rPr>
                      <w:rFonts w:hAnsi="宋体" w:eastAsia="宋体" w:cs="宋体"/>
                      <w:sz w:val="18"/>
                      <w:szCs w:val="18"/>
                    </w:rPr>
                  </w:pPr>
                  <w:r>
                    <w:rPr>
                      <w:rFonts w:hint="eastAsia" w:hAnsi="宋体" w:eastAsia="宋体" w:cs="宋体"/>
                      <w:sz w:val="18"/>
                      <w:szCs w:val="18"/>
                    </w:rPr>
                    <w:t>实验准备</w:t>
                  </w:r>
                </w:p>
              </w:tc>
              <w:tc>
                <w:tcPr>
                  <w:tcW w:w="2991" w:type="dxa"/>
                  <w:vAlign w:val="center"/>
                </w:tcPr>
                <w:p w14:paraId="5BA4D23B">
                  <w:pPr>
                    <w:pStyle w:val="6"/>
                    <w:rPr>
                      <w:rFonts w:hAnsi="宋体" w:eastAsia="宋体" w:cs="宋体"/>
                      <w:bCs/>
                      <w:iCs/>
                      <w:spacing w:val="10"/>
                      <w:sz w:val="18"/>
                      <w:szCs w:val="18"/>
                    </w:rPr>
                  </w:pPr>
                  <w:r>
                    <w:rPr>
                      <w:rFonts w:hint="eastAsia" w:hAnsi="宋体" w:eastAsia="宋体" w:cs="宋体"/>
                      <w:bCs/>
                      <w:iCs/>
                      <w:spacing w:val="10"/>
                      <w:sz w:val="18"/>
                      <w:szCs w:val="18"/>
                    </w:rPr>
                    <w:t>熟悉古典贸易理论演变</w:t>
                  </w:r>
                </w:p>
              </w:tc>
              <w:tc>
                <w:tcPr>
                  <w:tcW w:w="1366" w:type="dxa"/>
                  <w:vMerge w:val="continue"/>
                  <w:vAlign w:val="center"/>
                </w:tcPr>
                <w:p w14:paraId="2BBF5E02">
                  <w:pPr>
                    <w:jc w:val="center"/>
                    <w:rPr>
                      <w:rFonts w:ascii="宋体" w:hAnsi="宋体" w:eastAsia="宋体" w:cs="宋体"/>
                      <w:sz w:val="18"/>
                      <w:szCs w:val="18"/>
                    </w:rPr>
                  </w:pPr>
                </w:p>
              </w:tc>
            </w:tr>
            <w:tr w14:paraId="66E2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983" w:type="dxa"/>
                  <w:vMerge w:val="continue"/>
                  <w:vAlign w:val="center"/>
                </w:tcPr>
                <w:p w14:paraId="2ED7AAF8">
                  <w:pPr>
                    <w:pStyle w:val="6"/>
                    <w:rPr>
                      <w:rFonts w:hAnsi="宋体" w:eastAsia="宋体" w:cs="宋体"/>
                      <w:sz w:val="18"/>
                      <w:szCs w:val="18"/>
                    </w:rPr>
                  </w:pPr>
                </w:p>
              </w:tc>
              <w:tc>
                <w:tcPr>
                  <w:tcW w:w="1019" w:type="dxa"/>
                  <w:vMerge w:val="continue"/>
                  <w:vAlign w:val="center"/>
                </w:tcPr>
                <w:p w14:paraId="230A899C">
                  <w:pPr>
                    <w:pStyle w:val="6"/>
                    <w:rPr>
                      <w:rFonts w:hAnsi="宋体" w:eastAsia="宋体" w:cs="宋体"/>
                      <w:sz w:val="18"/>
                      <w:szCs w:val="18"/>
                    </w:rPr>
                  </w:pPr>
                </w:p>
              </w:tc>
              <w:tc>
                <w:tcPr>
                  <w:tcW w:w="2991" w:type="dxa"/>
                  <w:vAlign w:val="center"/>
                </w:tcPr>
                <w:p w14:paraId="4D190ADA">
                  <w:pPr>
                    <w:pStyle w:val="6"/>
                    <w:rPr>
                      <w:rFonts w:hAnsi="宋体" w:eastAsia="宋体" w:cs="宋体"/>
                      <w:bCs/>
                      <w:iCs/>
                      <w:spacing w:val="10"/>
                      <w:sz w:val="18"/>
                      <w:szCs w:val="18"/>
                    </w:rPr>
                  </w:pPr>
                  <w:r>
                    <w:rPr>
                      <w:rFonts w:hint="eastAsia" w:hAnsi="宋体" w:eastAsia="宋体" w:cs="宋体"/>
                      <w:sz w:val="18"/>
                      <w:szCs w:val="18"/>
                    </w:rPr>
                    <w:t>熟悉绝对优势理论及分析方法</w:t>
                  </w:r>
                </w:p>
              </w:tc>
              <w:tc>
                <w:tcPr>
                  <w:tcW w:w="1366" w:type="dxa"/>
                  <w:vMerge w:val="continue"/>
                  <w:vAlign w:val="center"/>
                </w:tcPr>
                <w:p w14:paraId="1AE006FC">
                  <w:pPr>
                    <w:pStyle w:val="6"/>
                    <w:jc w:val="center"/>
                    <w:rPr>
                      <w:rFonts w:hAnsi="宋体" w:eastAsia="宋体" w:cs="宋体"/>
                      <w:sz w:val="18"/>
                      <w:szCs w:val="18"/>
                    </w:rPr>
                  </w:pPr>
                </w:p>
              </w:tc>
            </w:tr>
            <w:tr w14:paraId="1D0E4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983" w:type="dxa"/>
                  <w:vMerge w:val="continue"/>
                  <w:vAlign w:val="center"/>
                </w:tcPr>
                <w:p w14:paraId="1D4AD7C6">
                  <w:pPr>
                    <w:pStyle w:val="6"/>
                    <w:rPr>
                      <w:rFonts w:hAnsi="宋体" w:eastAsia="宋体" w:cs="宋体"/>
                      <w:sz w:val="18"/>
                      <w:szCs w:val="18"/>
                    </w:rPr>
                  </w:pPr>
                </w:p>
              </w:tc>
              <w:tc>
                <w:tcPr>
                  <w:tcW w:w="1019" w:type="dxa"/>
                  <w:vMerge w:val="continue"/>
                  <w:vAlign w:val="center"/>
                </w:tcPr>
                <w:p w14:paraId="725D3E0A">
                  <w:pPr>
                    <w:pStyle w:val="6"/>
                    <w:rPr>
                      <w:rFonts w:hAnsi="宋体" w:eastAsia="宋体" w:cs="宋体"/>
                      <w:sz w:val="18"/>
                      <w:szCs w:val="18"/>
                    </w:rPr>
                  </w:pPr>
                </w:p>
              </w:tc>
              <w:tc>
                <w:tcPr>
                  <w:tcW w:w="2991" w:type="dxa"/>
                  <w:vAlign w:val="center"/>
                </w:tcPr>
                <w:p w14:paraId="4FFDB296">
                  <w:pPr>
                    <w:pStyle w:val="6"/>
                    <w:rPr>
                      <w:rFonts w:hAnsi="宋体" w:eastAsia="宋体" w:cs="宋体"/>
                      <w:bCs/>
                      <w:iCs/>
                      <w:spacing w:val="10"/>
                      <w:sz w:val="18"/>
                      <w:szCs w:val="18"/>
                    </w:rPr>
                  </w:pPr>
                  <w:r>
                    <w:rPr>
                      <w:rFonts w:hint="eastAsia" w:hAnsi="宋体" w:eastAsia="宋体" w:cs="宋体"/>
                      <w:sz w:val="18"/>
                      <w:szCs w:val="18"/>
                    </w:rPr>
                    <w:t>熟悉比较优势理论及分析方法</w:t>
                  </w:r>
                </w:p>
              </w:tc>
              <w:tc>
                <w:tcPr>
                  <w:tcW w:w="1366" w:type="dxa"/>
                  <w:vMerge w:val="continue"/>
                  <w:vAlign w:val="center"/>
                </w:tcPr>
                <w:p w14:paraId="25411941">
                  <w:pPr>
                    <w:pStyle w:val="6"/>
                    <w:jc w:val="center"/>
                    <w:rPr>
                      <w:rFonts w:hAnsi="宋体" w:eastAsia="宋体" w:cs="宋体"/>
                      <w:sz w:val="18"/>
                      <w:szCs w:val="18"/>
                    </w:rPr>
                  </w:pPr>
                </w:p>
              </w:tc>
            </w:tr>
            <w:tr w14:paraId="5FA8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83" w:type="dxa"/>
                  <w:vMerge w:val="continue"/>
                  <w:vAlign w:val="center"/>
                </w:tcPr>
                <w:p w14:paraId="1354BA63">
                  <w:pPr>
                    <w:pStyle w:val="6"/>
                    <w:rPr>
                      <w:rFonts w:hAnsi="宋体" w:eastAsia="宋体" w:cs="宋体"/>
                      <w:sz w:val="18"/>
                      <w:szCs w:val="18"/>
                    </w:rPr>
                  </w:pPr>
                </w:p>
              </w:tc>
              <w:tc>
                <w:tcPr>
                  <w:tcW w:w="1019" w:type="dxa"/>
                  <w:vMerge w:val="restart"/>
                  <w:vAlign w:val="center"/>
                </w:tcPr>
                <w:p w14:paraId="4513D5BC">
                  <w:pPr>
                    <w:pStyle w:val="6"/>
                    <w:rPr>
                      <w:rFonts w:hAnsi="宋体" w:eastAsia="宋体" w:cs="宋体"/>
                      <w:sz w:val="18"/>
                      <w:szCs w:val="18"/>
                    </w:rPr>
                  </w:pPr>
                  <w:r>
                    <w:rPr>
                      <w:rFonts w:hint="eastAsia" w:hAnsi="宋体" w:eastAsia="宋体" w:cs="宋体"/>
                      <w:sz w:val="18"/>
                      <w:szCs w:val="18"/>
                    </w:rPr>
                    <w:t>实验实施</w:t>
                  </w:r>
                </w:p>
              </w:tc>
              <w:tc>
                <w:tcPr>
                  <w:tcW w:w="2991" w:type="dxa"/>
                  <w:vAlign w:val="center"/>
                </w:tcPr>
                <w:p w14:paraId="0DF38572">
                  <w:pPr>
                    <w:pStyle w:val="6"/>
                    <w:rPr>
                      <w:rFonts w:hAnsi="宋体" w:eastAsia="宋体" w:cs="宋体"/>
                      <w:bCs/>
                      <w:iCs/>
                      <w:spacing w:val="10"/>
                      <w:sz w:val="18"/>
                      <w:szCs w:val="18"/>
                    </w:rPr>
                  </w:pPr>
                  <w:r>
                    <w:rPr>
                      <w:rFonts w:hint="eastAsia" w:hAnsi="宋体" w:eastAsia="宋体" w:cs="宋体"/>
                      <w:sz w:val="18"/>
                      <w:szCs w:val="18"/>
                    </w:rPr>
                    <w:t>各国厂商分析通过产能计算比较优势与绝对优势产品</w:t>
                  </w:r>
                </w:p>
              </w:tc>
              <w:tc>
                <w:tcPr>
                  <w:tcW w:w="1366" w:type="dxa"/>
                  <w:vMerge w:val="continue"/>
                  <w:vAlign w:val="center"/>
                </w:tcPr>
                <w:p w14:paraId="0A7A9203">
                  <w:pPr>
                    <w:pStyle w:val="6"/>
                    <w:jc w:val="center"/>
                    <w:rPr>
                      <w:rFonts w:hAnsi="宋体" w:eastAsia="宋体" w:cs="宋体"/>
                      <w:sz w:val="18"/>
                      <w:szCs w:val="18"/>
                    </w:rPr>
                  </w:pPr>
                </w:p>
              </w:tc>
            </w:tr>
            <w:tr w14:paraId="165D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83" w:type="dxa"/>
                  <w:vMerge w:val="continue"/>
                  <w:vAlign w:val="center"/>
                </w:tcPr>
                <w:p w14:paraId="1E8F33C0">
                  <w:pPr>
                    <w:pStyle w:val="6"/>
                    <w:rPr>
                      <w:rFonts w:hAnsi="宋体" w:eastAsia="宋体" w:cs="宋体"/>
                      <w:sz w:val="18"/>
                      <w:szCs w:val="18"/>
                    </w:rPr>
                  </w:pPr>
                </w:p>
              </w:tc>
              <w:tc>
                <w:tcPr>
                  <w:tcW w:w="1019" w:type="dxa"/>
                  <w:vMerge w:val="continue"/>
                  <w:vAlign w:val="center"/>
                </w:tcPr>
                <w:p w14:paraId="43A3CE80">
                  <w:pPr>
                    <w:pStyle w:val="6"/>
                    <w:rPr>
                      <w:rFonts w:hAnsi="宋体" w:eastAsia="宋体" w:cs="宋体"/>
                      <w:sz w:val="18"/>
                      <w:szCs w:val="18"/>
                    </w:rPr>
                  </w:pPr>
                </w:p>
              </w:tc>
              <w:tc>
                <w:tcPr>
                  <w:tcW w:w="2991" w:type="dxa"/>
                  <w:vAlign w:val="center"/>
                </w:tcPr>
                <w:p w14:paraId="0A8BB811">
                  <w:pPr>
                    <w:pStyle w:val="6"/>
                    <w:rPr>
                      <w:rFonts w:hAnsi="宋体" w:eastAsia="宋体" w:cs="宋体"/>
                      <w:bCs/>
                      <w:iCs/>
                      <w:spacing w:val="10"/>
                      <w:sz w:val="18"/>
                      <w:szCs w:val="18"/>
                    </w:rPr>
                  </w:pPr>
                  <w:r>
                    <w:rPr>
                      <w:rFonts w:hint="eastAsia" w:hAnsi="宋体" w:eastAsia="宋体" w:cs="宋体"/>
                      <w:sz w:val="18"/>
                      <w:szCs w:val="18"/>
                    </w:rPr>
                    <w:t>各国厂商根据比较优势和绝对优势产品进行订单竞标</w:t>
                  </w:r>
                </w:p>
              </w:tc>
              <w:tc>
                <w:tcPr>
                  <w:tcW w:w="1366" w:type="dxa"/>
                  <w:vMerge w:val="continue"/>
                  <w:vAlign w:val="center"/>
                </w:tcPr>
                <w:p w14:paraId="124E3F94">
                  <w:pPr>
                    <w:pStyle w:val="6"/>
                    <w:jc w:val="center"/>
                    <w:rPr>
                      <w:rFonts w:hAnsi="宋体" w:eastAsia="宋体" w:cs="宋体"/>
                      <w:sz w:val="18"/>
                      <w:szCs w:val="18"/>
                    </w:rPr>
                  </w:pPr>
                </w:p>
              </w:tc>
            </w:tr>
            <w:tr w14:paraId="1986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3" w:type="dxa"/>
                  <w:vMerge w:val="continue"/>
                  <w:vAlign w:val="center"/>
                </w:tcPr>
                <w:p w14:paraId="629D1B21">
                  <w:pPr>
                    <w:pStyle w:val="6"/>
                    <w:rPr>
                      <w:rFonts w:hAnsi="宋体" w:eastAsia="宋体" w:cs="宋体"/>
                      <w:sz w:val="18"/>
                      <w:szCs w:val="18"/>
                    </w:rPr>
                  </w:pPr>
                </w:p>
              </w:tc>
              <w:tc>
                <w:tcPr>
                  <w:tcW w:w="1019" w:type="dxa"/>
                  <w:vMerge w:val="continue"/>
                  <w:vAlign w:val="center"/>
                </w:tcPr>
                <w:p w14:paraId="395EB1D5">
                  <w:pPr>
                    <w:pStyle w:val="6"/>
                    <w:rPr>
                      <w:rFonts w:hAnsi="宋体" w:eastAsia="宋体" w:cs="宋体"/>
                      <w:sz w:val="18"/>
                      <w:szCs w:val="18"/>
                    </w:rPr>
                  </w:pPr>
                </w:p>
              </w:tc>
              <w:tc>
                <w:tcPr>
                  <w:tcW w:w="2991" w:type="dxa"/>
                  <w:vAlign w:val="center"/>
                </w:tcPr>
                <w:p w14:paraId="73685152">
                  <w:pPr>
                    <w:pStyle w:val="6"/>
                    <w:rPr>
                      <w:rFonts w:hAnsi="宋体" w:eastAsia="宋体" w:cs="宋体"/>
                      <w:bCs/>
                      <w:iCs/>
                      <w:spacing w:val="10"/>
                      <w:sz w:val="18"/>
                      <w:szCs w:val="18"/>
                    </w:rPr>
                  </w:pPr>
                  <w:r>
                    <w:rPr>
                      <w:rFonts w:hint="eastAsia" w:hAnsi="宋体" w:eastAsia="宋体" w:cs="宋体"/>
                      <w:sz w:val="18"/>
                      <w:szCs w:val="18"/>
                    </w:rPr>
                    <w:t>各国厂商开展国际贸易业务，进出口产品</w:t>
                  </w:r>
                </w:p>
              </w:tc>
              <w:tc>
                <w:tcPr>
                  <w:tcW w:w="1366" w:type="dxa"/>
                  <w:vMerge w:val="continue"/>
                  <w:vAlign w:val="center"/>
                </w:tcPr>
                <w:p w14:paraId="31A2E705">
                  <w:pPr>
                    <w:pStyle w:val="6"/>
                    <w:jc w:val="center"/>
                    <w:rPr>
                      <w:rFonts w:hAnsi="宋体" w:eastAsia="宋体" w:cs="宋体"/>
                      <w:sz w:val="18"/>
                      <w:szCs w:val="18"/>
                    </w:rPr>
                  </w:pPr>
                </w:p>
              </w:tc>
            </w:tr>
            <w:tr w14:paraId="56B24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3" w:type="dxa"/>
                  <w:vMerge w:val="continue"/>
                  <w:vAlign w:val="center"/>
                </w:tcPr>
                <w:p w14:paraId="16D72656">
                  <w:pPr>
                    <w:pStyle w:val="6"/>
                    <w:rPr>
                      <w:rFonts w:hAnsi="宋体" w:eastAsia="宋体" w:cs="宋体"/>
                      <w:sz w:val="18"/>
                      <w:szCs w:val="18"/>
                    </w:rPr>
                  </w:pPr>
                </w:p>
              </w:tc>
              <w:tc>
                <w:tcPr>
                  <w:tcW w:w="1019" w:type="dxa"/>
                  <w:vMerge w:val="restart"/>
                  <w:vAlign w:val="center"/>
                </w:tcPr>
                <w:p w14:paraId="2A2B6806">
                  <w:pPr>
                    <w:pStyle w:val="6"/>
                    <w:rPr>
                      <w:rFonts w:hAnsi="宋体" w:eastAsia="宋体" w:cs="宋体"/>
                      <w:sz w:val="18"/>
                      <w:szCs w:val="18"/>
                    </w:rPr>
                  </w:pPr>
                  <w:r>
                    <w:rPr>
                      <w:rFonts w:hint="eastAsia" w:hAnsi="宋体" w:eastAsia="宋体" w:cs="宋体"/>
                      <w:sz w:val="18"/>
                      <w:szCs w:val="18"/>
                    </w:rPr>
                    <w:t>实验总结</w:t>
                  </w:r>
                </w:p>
              </w:tc>
              <w:tc>
                <w:tcPr>
                  <w:tcW w:w="2991" w:type="dxa"/>
                  <w:vAlign w:val="center"/>
                </w:tcPr>
                <w:p w14:paraId="58A8F19B">
                  <w:pPr>
                    <w:pStyle w:val="6"/>
                    <w:rPr>
                      <w:rFonts w:hAnsi="宋体" w:eastAsia="宋体" w:cs="宋体"/>
                      <w:bCs/>
                      <w:iCs/>
                      <w:spacing w:val="10"/>
                      <w:sz w:val="18"/>
                      <w:szCs w:val="18"/>
                    </w:rPr>
                  </w:pPr>
                  <w:r>
                    <w:rPr>
                      <w:rFonts w:hint="eastAsia" w:hAnsi="宋体" w:eastAsia="宋体" w:cs="宋体"/>
                      <w:sz w:val="18"/>
                      <w:szCs w:val="18"/>
                    </w:rPr>
                    <w:t>总结国际经济学的研究对象与国际贸易基础</w:t>
                  </w:r>
                </w:p>
              </w:tc>
              <w:tc>
                <w:tcPr>
                  <w:tcW w:w="1366" w:type="dxa"/>
                  <w:vMerge w:val="continue"/>
                  <w:vAlign w:val="center"/>
                </w:tcPr>
                <w:p w14:paraId="0506F94F">
                  <w:pPr>
                    <w:pStyle w:val="6"/>
                    <w:jc w:val="center"/>
                    <w:rPr>
                      <w:rFonts w:hAnsi="宋体" w:eastAsia="宋体" w:cs="宋体"/>
                      <w:sz w:val="18"/>
                      <w:szCs w:val="18"/>
                    </w:rPr>
                  </w:pPr>
                </w:p>
              </w:tc>
            </w:tr>
            <w:tr w14:paraId="721C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83" w:type="dxa"/>
                  <w:vMerge w:val="continue"/>
                  <w:vAlign w:val="center"/>
                </w:tcPr>
                <w:p w14:paraId="3826C944">
                  <w:pPr>
                    <w:pStyle w:val="6"/>
                    <w:rPr>
                      <w:rFonts w:hAnsi="宋体" w:eastAsia="宋体" w:cs="宋体"/>
                      <w:sz w:val="18"/>
                      <w:szCs w:val="18"/>
                    </w:rPr>
                  </w:pPr>
                </w:p>
              </w:tc>
              <w:tc>
                <w:tcPr>
                  <w:tcW w:w="1019" w:type="dxa"/>
                  <w:vMerge w:val="continue"/>
                  <w:vAlign w:val="center"/>
                </w:tcPr>
                <w:p w14:paraId="798901B9">
                  <w:pPr>
                    <w:pStyle w:val="6"/>
                    <w:rPr>
                      <w:rFonts w:hAnsi="宋体" w:eastAsia="宋体" w:cs="宋体"/>
                      <w:sz w:val="18"/>
                      <w:szCs w:val="18"/>
                    </w:rPr>
                  </w:pPr>
                </w:p>
              </w:tc>
              <w:tc>
                <w:tcPr>
                  <w:tcW w:w="2991" w:type="dxa"/>
                  <w:vAlign w:val="center"/>
                </w:tcPr>
                <w:p w14:paraId="08D3DDD5">
                  <w:pPr>
                    <w:pStyle w:val="6"/>
                    <w:rPr>
                      <w:rFonts w:hAnsi="宋体" w:eastAsia="宋体" w:cs="宋体"/>
                      <w:bCs/>
                      <w:iCs/>
                      <w:spacing w:val="10"/>
                      <w:sz w:val="18"/>
                      <w:szCs w:val="18"/>
                    </w:rPr>
                  </w:pPr>
                  <w:r>
                    <w:rPr>
                      <w:rFonts w:hint="eastAsia" w:hAnsi="宋体" w:eastAsia="宋体" w:cs="宋体"/>
                      <w:bCs/>
                      <w:iCs/>
                      <w:spacing w:val="10"/>
                      <w:sz w:val="18"/>
                      <w:szCs w:val="18"/>
                    </w:rPr>
                    <w:t>总结比较优势与绝对优势理论不同</w:t>
                  </w:r>
                </w:p>
              </w:tc>
              <w:tc>
                <w:tcPr>
                  <w:tcW w:w="1366" w:type="dxa"/>
                  <w:vMerge w:val="continue"/>
                </w:tcPr>
                <w:p w14:paraId="4F9BF2F9">
                  <w:pPr>
                    <w:pStyle w:val="6"/>
                    <w:rPr>
                      <w:rFonts w:hAnsi="宋体" w:eastAsia="宋体" w:cs="宋体"/>
                      <w:sz w:val="18"/>
                      <w:szCs w:val="18"/>
                    </w:rPr>
                  </w:pPr>
                </w:p>
              </w:tc>
            </w:tr>
            <w:tr w14:paraId="6A0A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983" w:type="dxa"/>
                  <w:vMerge w:val="continue"/>
                  <w:vAlign w:val="center"/>
                </w:tcPr>
                <w:p w14:paraId="15A5E230">
                  <w:pPr>
                    <w:pStyle w:val="6"/>
                    <w:rPr>
                      <w:rFonts w:hAnsi="宋体" w:eastAsia="宋体" w:cs="宋体"/>
                      <w:sz w:val="18"/>
                      <w:szCs w:val="18"/>
                    </w:rPr>
                  </w:pPr>
                </w:p>
              </w:tc>
              <w:tc>
                <w:tcPr>
                  <w:tcW w:w="1019" w:type="dxa"/>
                  <w:vMerge w:val="continue"/>
                  <w:vAlign w:val="center"/>
                </w:tcPr>
                <w:p w14:paraId="2EC69FF9">
                  <w:pPr>
                    <w:pStyle w:val="6"/>
                    <w:rPr>
                      <w:rFonts w:hAnsi="宋体" w:eastAsia="宋体" w:cs="宋体"/>
                      <w:sz w:val="18"/>
                      <w:szCs w:val="18"/>
                    </w:rPr>
                  </w:pPr>
                </w:p>
              </w:tc>
              <w:tc>
                <w:tcPr>
                  <w:tcW w:w="2991" w:type="dxa"/>
                  <w:vAlign w:val="center"/>
                </w:tcPr>
                <w:p w14:paraId="0BC5C3F4">
                  <w:pPr>
                    <w:pStyle w:val="6"/>
                    <w:rPr>
                      <w:rFonts w:hAnsi="宋体" w:eastAsia="宋体" w:cs="宋体"/>
                      <w:bCs/>
                      <w:iCs/>
                      <w:spacing w:val="10"/>
                      <w:sz w:val="18"/>
                      <w:szCs w:val="18"/>
                    </w:rPr>
                  </w:pPr>
                  <w:r>
                    <w:rPr>
                      <w:rFonts w:hint="eastAsia" w:hAnsi="宋体" w:eastAsia="宋体" w:cs="宋体"/>
                      <w:bCs/>
                      <w:iCs/>
                      <w:spacing w:val="10"/>
                      <w:sz w:val="18"/>
                      <w:szCs w:val="18"/>
                    </w:rPr>
                    <w:t>总结比较优势与绝对优势的分析方法</w:t>
                  </w:r>
                </w:p>
              </w:tc>
              <w:tc>
                <w:tcPr>
                  <w:tcW w:w="1366" w:type="dxa"/>
                  <w:vMerge w:val="continue"/>
                </w:tcPr>
                <w:p w14:paraId="7F1F9212">
                  <w:pPr>
                    <w:pStyle w:val="6"/>
                    <w:rPr>
                      <w:rFonts w:hAnsi="宋体" w:eastAsia="宋体" w:cs="宋体"/>
                      <w:sz w:val="18"/>
                      <w:szCs w:val="18"/>
                    </w:rPr>
                  </w:pPr>
                </w:p>
              </w:tc>
            </w:tr>
          </w:tbl>
          <w:p w14:paraId="5D275CD8">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5597188F">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将全班分成各个小组（每组4-6人），每个小组扮演不同的国家，每个国家内部分工，分别担任政府、厂商角色</w:t>
            </w:r>
          </w:p>
          <w:p w14:paraId="2CAC4238">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规则介绍、破冰起航</w:t>
            </w:r>
          </w:p>
          <w:p w14:paraId="6B854F34">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各国厂商根据产能计算比较优势与绝对优势产品</w:t>
            </w:r>
          </w:p>
          <w:p w14:paraId="20F84242">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各国厂商进行订单竞标吸引海内外订单</w:t>
            </w:r>
          </w:p>
          <w:p w14:paraId="64DA1C13">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各国厂商开展国际贸易业务，进出口产品</w:t>
            </w:r>
          </w:p>
          <w:p w14:paraId="113EB773">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各国各公司盘点业绩，查看关税缴纳情况</w:t>
            </w:r>
          </w:p>
          <w:p w14:paraId="6EDA6ADD">
            <w:pPr>
              <w:ind w:firstLine="527" w:firstLineChars="250"/>
              <w:rPr>
                <w:rFonts w:ascii="宋体" w:hAnsi="宋体" w:eastAsia="宋体" w:cs="宋体"/>
                <w:b/>
                <w:szCs w:val="21"/>
              </w:rPr>
            </w:pPr>
            <w:r>
              <w:rPr>
                <w:rFonts w:hint="eastAsia" w:ascii="宋体" w:hAnsi="宋体" w:eastAsia="宋体" w:cs="宋体"/>
                <w:b/>
                <w:szCs w:val="21"/>
              </w:rPr>
              <w:t>2）实验成果</w:t>
            </w:r>
          </w:p>
          <w:p w14:paraId="73F2F1D0">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熟练掌握绝对优势原理及分析方法</w:t>
            </w:r>
          </w:p>
          <w:p w14:paraId="51B585F8">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从劳动生产率差异的角度理解比较优势原理</w:t>
            </w:r>
          </w:p>
          <w:p w14:paraId="0858E12E">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熟练掌握比较优势原理的分析方法</w:t>
            </w:r>
          </w:p>
          <w:p w14:paraId="3A2419C7">
            <w:pPr>
              <w:numPr>
                <w:ilvl w:val="3"/>
                <w:numId w:val="8"/>
              </w:numPr>
              <w:rPr>
                <w:rFonts w:ascii="宋体" w:hAnsi="宋体" w:eastAsia="宋体" w:cs="宋体"/>
                <w:b/>
                <w:color w:val="000000"/>
                <w:kern w:val="0"/>
                <w:szCs w:val="21"/>
              </w:rPr>
            </w:pPr>
            <w:bookmarkStart w:id="3" w:name="_Toc31807"/>
            <w:r>
              <w:rPr>
                <w:rFonts w:hint="eastAsia" w:ascii="宋体" w:hAnsi="宋体" w:eastAsia="宋体" w:cs="宋体"/>
                <w:b/>
                <w:color w:val="000000"/>
                <w:kern w:val="0"/>
                <w:szCs w:val="21"/>
              </w:rPr>
              <w:t>要素禀赋理论实验</w:t>
            </w:r>
            <w:bookmarkEnd w:id="3"/>
          </w:p>
          <w:p w14:paraId="1540950C">
            <w:pPr>
              <w:jc w:val="center"/>
              <w:rPr>
                <w:rFonts w:ascii="宋体" w:hAnsi="宋体" w:eastAsia="宋体" w:cs="宋体"/>
                <w:szCs w:val="21"/>
              </w:rPr>
            </w:pPr>
            <w:r>
              <w:rPr>
                <w:rFonts w:hint="eastAsia" w:ascii="宋体" w:hAnsi="宋体" w:eastAsia="宋体" w:cs="宋体"/>
                <w:szCs w:val="21"/>
              </w:rPr>
              <w:t>表2 要素禀赋理论实验项目</w:t>
            </w:r>
          </w:p>
          <w:tbl>
            <w:tblPr>
              <w:tblStyle w:val="12"/>
              <w:tblW w:w="6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990"/>
              <w:gridCol w:w="3267"/>
              <w:gridCol w:w="1142"/>
            </w:tblGrid>
            <w:tr w14:paraId="78AA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879" w:type="dxa"/>
                  <w:shd w:val="clear" w:color="auto" w:fill="E6E6E6"/>
                  <w:vAlign w:val="center"/>
                </w:tcPr>
                <w:p w14:paraId="5FF076E5">
                  <w:pPr>
                    <w:pStyle w:val="6"/>
                    <w:jc w:val="center"/>
                    <w:rPr>
                      <w:rFonts w:hAnsi="宋体" w:eastAsia="宋体" w:cs="宋体"/>
                      <w:sz w:val="18"/>
                      <w:szCs w:val="18"/>
                    </w:rPr>
                  </w:pPr>
                  <w:r>
                    <w:rPr>
                      <w:rFonts w:hint="eastAsia" w:hAnsi="宋体" w:eastAsia="宋体" w:cs="宋体"/>
                      <w:sz w:val="18"/>
                      <w:szCs w:val="18"/>
                    </w:rPr>
                    <w:t>一级模块</w:t>
                  </w:r>
                </w:p>
              </w:tc>
              <w:tc>
                <w:tcPr>
                  <w:tcW w:w="990" w:type="dxa"/>
                  <w:shd w:val="clear" w:color="auto" w:fill="E6E6E6"/>
                  <w:vAlign w:val="center"/>
                </w:tcPr>
                <w:p w14:paraId="5F14E42E">
                  <w:pPr>
                    <w:pStyle w:val="6"/>
                    <w:jc w:val="center"/>
                    <w:rPr>
                      <w:rFonts w:hAnsi="宋体" w:eastAsia="宋体" w:cs="宋体"/>
                      <w:sz w:val="18"/>
                      <w:szCs w:val="18"/>
                    </w:rPr>
                  </w:pPr>
                  <w:r>
                    <w:rPr>
                      <w:rFonts w:hint="eastAsia" w:hAnsi="宋体" w:eastAsia="宋体" w:cs="宋体"/>
                      <w:sz w:val="18"/>
                      <w:szCs w:val="18"/>
                    </w:rPr>
                    <w:t>二级模块</w:t>
                  </w:r>
                </w:p>
              </w:tc>
              <w:tc>
                <w:tcPr>
                  <w:tcW w:w="3267" w:type="dxa"/>
                  <w:shd w:val="clear" w:color="auto" w:fill="E6E6E6"/>
                  <w:vAlign w:val="center"/>
                </w:tcPr>
                <w:p w14:paraId="51887F8C">
                  <w:pPr>
                    <w:pStyle w:val="6"/>
                    <w:jc w:val="center"/>
                    <w:rPr>
                      <w:rFonts w:hAnsi="宋体" w:eastAsia="宋体" w:cs="宋体"/>
                      <w:sz w:val="18"/>
                      <w:szCs w:val="18"/>
                    </w:rPr>
                  </w:pPr>
                  <w:r>
                    <w:rPr>
                      <w:rFonts w:hint="eastAsia" w:hAnsi="宋体" w:eastAsia="宋体" w:cs="宋体"/>
                      <w:sz w:val="18"/>
                      <w:szCs w:val="18"/>
                    </w:rPr>
                    <w:t>实验项目名称</w:t>
                  </w:r>
                </w:p>
              </w:tc>
              <w:tc>
                <w:tcPr>
                  <w:tcW w:w="1142" w:type="dxa"/>
                  <w:shd w:val="clear" w:color="auto" w:fill="E6E6E6"/>
                  <w:vAlign w:val="center"/>
                </w:tcPr>
                <w:p w14:paraId="6E5E64B9">
                  <w:pPr>
                    <w:pStyle w:val="6"/>
                    <w:jc w:val="center"/>
                    <w:rPr>
                      <w:rFonts w:hAnsi="宋体" w:eastAsia="宋体" w:cs="宋体"/>
                      <w:sz w:val="18"/>
                      <w:szCs w:val="18"/>
                    </w:rPr>
                  </w:pPr>
                  <w:r>
                    <w:rPr>
                      <w:rFonts w:hint="eastAsia" w:hAnsi="宋体" w:eastAsia="宋体" w:cs="宋体"/>
                      <w:sz w:val="18"/>
                      <w:szCs w:val="18"/>
                    </w:rPr>
                    <w:t>涉及知识点</w:t>
                  </w:r>
                </w:p>
              </w:tc>
            </w:tr>
            <w:tr w14:paraId="4613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restart"/>
                  <w:vAlign w:val="center"/>
                </w:tcPr>
                <w:p w14:paraId="6EB89290">
                  <w:pPr>
                    <w:pStyle w:val="6"/>
                    <w:rPr>
                      <w:rFonts w:hAnsi="宋体" w:eastAsia="宋体" w:cs="宋体"/>
                      <w:sz w:val="18"/>
                      <w:szCs w:val="18"/>
                    </w:rPr>
                  </w:pPr>
                  <w:r>
                    <w:rPr>
                      <w:rFonts w:hint="eastAsia" w:hAnsi="宋体" w:eastAsia="宋体" w:cs="宋体"/>
                      <w:sz w:val="18"/>
                      <w:szCs w:val="18"/>
                    </w:rPr>
                    <w:t>要素禀赋理论实验项目</w:t>
                  </w:r>
                </w:p>
              </w:tc>
              <w:tc>
                <w:tcPr>
                  <w:tcW w:w="990" w:type="dxa"/>
                  <w:vAlign w:val="center"/>
                </w:tcPr>
                <w:p w14:paraId="0292676C">
                  <w:pPr>
                    <w:pStyle w:val="6"/>
                    <w:rPr>
                      <w:rFonts w:hAnsi="宋体" w:eastAsia="宋体" w:cs="宋体"/>
                      <w:sz w:val="18"/>
                      <w:szCs w:val="18"/>
                    </w:rPr>
                  </w:pPr>
                  <w:r>
                    <w:rPr>
                      <w:rFonts w:hint="eastAsia" w:hAnsi="宋体" w:eastAsia="宋体" w:cs="宋体"/>
                      <w:sz w:val="18"/>
                      <w:szCs w:val="18"/>
                    </w:rPr>
                    <w:t>导入培训</w:t>
                  </w:r>
                </w:p>
              </w:tc>
              <w:tc>
                <w:tcPr>
                  <w:tcW w:w="3267" w:type="dxa"/>
                  <w:vAlign w:val="center"/>
                </w:tcPr>
                <w:p w14:paraId="27AC4808">
                  <w:pPr>
                    <w:pStyle w:val="6"/>
                    <w:rPr>
                      <w:rFonts w:hAnsi="宋体" w:eastAsia="宋体" w:cs="宋体"/>
                      <w:bCs/>
                      <w:iCs/>
                      <w:spacing w:val="10"/>
                      <w:sz w:val="18"/>
                      <w:szCs w:val="18"/>
                    </w:rPr>
                  </w:pPr>
                  <w:r>
                    <w:rPr>
                      <w:rFonts w:hint="eastAsia" w:hAnsi="宋体" w:eastAsia="宋体" w:cs="宋体"/>
                      <w:sz w:val="18"/>
                      <w:szCs w:val="18"/>
                    </w:rPr>
                    <w:t>了解生产要素，分析不同产业的要素密集度</w:t>
                  </w:r>
                </w:p>
              </w:tc>
              <w:tc>
                <w:tcPr>
                  <w:tcW w:w="1142" w:type="dxa"/>
                  <w:vMerge w:val="restart"/>
                  <w:vAlign w:val="center"/>
                </w:tcPr>
                <w:p w14:paraId="2C866422">
                  <w:pPr>
                    <w:pStyle w:val="6"/>
                    <w:jc w:val="center"/>
                    <w:rPr>
                      <w:rFonts w:hAnsi="宋体" w:eastAsia="宋体" w:cs="宋体"/>
                      <w:sz w:val="18"/>
                      <w:szCs w:val="18"/>
                    </w:rPr>
                  </w:pPr>
                  <w:r>
                    <w:rPr>
                      <w:rFonts w:hint="eastAsia" w:hAnsi="宋体" w:eastAsia="宋体" w:cs="宋体"/>
                      <w:sz w:val="18"/>
                      <w:szCs w:val="18"/>
                    </w:rPr>
                    <w:t>要素禀赋理论的基本模型</w:t>
                  </w:r>
                </w:p>
                <w:p w14:paraId="2120443C">
                  <w:pPr>
                    <w:pStyle w:val="6"/>
                    <w:jc w:val="center"/>
                    <w:rPr>
                      <w:rFonts w:hAnsi="宋体" w:eastAsia="宋体" w:cs="宋体"/>
                      <w:sz w:val="18"/>
                      <w:szCs w:val="18"/>
                    </w:rPr>
                  </w:pPr>
                  <w:r>
                    <w:rPr>
                      <w:rFonts w:hint="eastAsia" w:hAnsi="宋体" w:eastAsia="宋体" w:cs="宋体"/>
                      <w:sz w:val="18"/>
                      <w:szCs w:val="18"/>
                    </w:rPr>
                    <w:t>要素密集度</w:t>
                  </w:r>
                </w:p>
                <w:p w14:paraId="18B050D7">
                  <w:pPr>
                    <w:pStyle w:val="6"/>
                    <w:jc w:val="center"/>
                    <w:rPr>
                      <w:rFonts w:hAnsi="宋体" w:eastAsia="宋体" w:cs="宋体"/>
                      <w:sz w:val="18"/>
                      <w:szCs w:val="18"/>
                    </w:rPr>
                  </w:pPr>
                  <w:r>
                    <w:rPr>
                      <w:rFonts w:hint="eastAsia" w:hAnsi="宋体" w:eastAsia="宋体" w:cs="宋体"/>
                      <w:sz w:val="18"/>
                      <w:szCs w:val="18"/>
                    </w:rPr>
                    <w:t>H-O理论和要素价格均等化理论</w:t>
                  </w:r>
                </w:p>
                <w:p w14:paraId="6B1B5FBF">
                  <w:pPr>
                    <w:pStyle w:val="6"/>
                    <w:jc w:val="center"/>
                    <w:rPr>
                      <w:rFonts w:hAnsi="宋体" w:eastAsia="宋体" w:cs="宋体"/>
                      <w:sz w:val="18"/>
                      <w:szCs w:val="18"/>
                    </w:rPr>
                  </w:pPr>
                  <w:r>
                    <w:rPr>
                      <w:rFonts w:hint="eastAsia" w:hAnsi="宋体" w:eastAsia="宋体" w:cs="宋体"/>
                      <w:sz w:val="18"/>
                      <w:szCs w:val="18"/>
                    </w:rPr>
                    <w:t>里昂惕夫悖论</w:t>
                  </w:r>
                </w:p>
              </w:tc>
            </w:tr>
            <w:tr w14:paraId="03BB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5B12C2A8">
                  <w:pPr>
                    <w:pStyle w:val="6"/>
                    <w:rPr>
                      <w:rFonts w:hAnsi="宋体" w:eastAsia="宋体" w:cs="宋体"/>
                      <w:sz w:val="18"/>
                      <w:szCs w:val="18"/>
                    </w:rPr>
                  </w:pPr>
                </w:p>
              </w:tc>
              <w:tc>
                <w:tcPr>
                  <w:tcW w:w="990" w:type="dxa"/>
                  <w:vMerge w:val="restart"/>
                  <w:vAlign w:val="center"/>
                </w:tcPr>
                <w:p w14:paraId="1AF1AC9A">
                  <w:pPr>
                    <w:pStyle w:val="6"/>
                    <w:rPr>
                      <w:rFonts w:hAnsi="宋体" w:eastAsia="宋体" w:cs="宋体"/>
                      <w:sz w:val="18"/>
                      <w:szCs w:val="18"/>
                    </w:rPr>
                  </w:pPr>
                  <w:r>
                    <w:rPr>
                      <w:rFonts w:hint="eastAsia" w:hAnsi="宋体" w:eastAsia="宋体" w:cs="宋体"/>
                      <w:sz w:val="18"/>
                      <w:szCs w:val="18"/>
                    </w:rPr>
                    <w:t>实验准备</w:t>
                  </w:r>
                </w:p>
              </w:tc>
              <w:tc>
                <w:tcPr>
                  <w:tcW w:w="3267" w:type="dxa"/>
                  <w:vAlign w:val="center"/>
                </w:tcPr>
                <w:p w14:paraId="4B88B696">
                  <w:pPr>
                    <w:pStyle w:val="6"/>
                    <w:rPr>
                      <w:rFonts w:hAnsi="宋体" w:eastAsia="宋体" w:cs="宋体"/>
                      <w:bCs/>
                      <w:iCs/>
                      <w:spacing w:val="10"/>
                      <w:sz w:val="18"/>
                      <w:szCs w:val="18"/>
                    </w:rPr>
                  </w:pPr>
                  <w:r>
                    <w:rPr>
                      <w:rFonts w:hint="eastAsia" w:hAnsi="宋体" w:eastAsia="宋体" w:cs="宋体"/>
                      <w:sz w:val="18"/>
                      <w:szCs w:val="18"/>
                    </w:rPr>
                    <w:t>制定要素市场交易和竞标规则</w:t>
                  </w:r>
                </w:p>
              </w:tc>
              <w:tc>
                <w:tcPr>
                  <w:tcW w:w="1142" w:type="dxa"/>
                  <w:vMerge w:val="continue"/>
                  <w:vAlign w:val="center"/>
                </w:tcPr>
                <w:p w14:paraId="3A0C9A95">
                  <w:pPr>
                    <w:pStyle w:val="6"/>
                    <w:jc w:val="center"/>
                    <w:rPr>
                      <w:rFonts w:hAnsi="宋体" w:eastAsia="宋体" w:cs="宋体"/>
                      <w:sz w:val="18"/>
                      <w:szCs w:val="18"/>
                    </w:rPr>
                  </w:pPr>
                </w:p>
              </w:tc>
            </w:tr>
            <w:tr w14:paraId="522B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5A741B43">
                  <w:pPr>
                    <w:pStyle w:val="6"/>
                    <w:rPr>
                      <w:rFonts w:hAnsi="宋体" w:eastAsia="宋体" w:cs="宋体"/>
                      <w:sz w:val="18"/>
                      <w:szCs w:val="18"/>
                    </w:rPr>
                  </w:pPr>
                </w:p>
              </w:tc>
              <w:tc>
                <w:tcPr>
                  <w:tcW w:w="990" w:type="dxa"/>
                  <w:vMerge w:val="continue"/>
                  <w:vAlign w:val="center"/>
                </w:tcPr>
                <w:p w14:paraId="2394B4E0">
                  <w:pPr>
                    <w:pStyle w:val="6"/>
                    <w:rPr>
                      <w:rFonts w:hAnsi="宋体" w:eastAsia="宋体" w:cs="宋体"/>
                      <w:sz w:val="18"/>
                      <w:szCs w:val="18"/>
                    </w:rPr>
                  </w:pPr>
                </w:p>
              </w:tc>
              <w:tc>
                <w:tcPr>
                  <w:tcW w:w="3267" w:type="dxa"/>
                  <w:vAlign w:val="center"/>
                </w:tcPr>
                <w:p w14:paraId="2A5C48FB">
                  <w:pPr>
                    <w:pStyle w:val="6"/>
                    <w:rPr>
                      <w:rFonts w:hAnsi="宋体" w:eastAsia="宋体" w:cs="宋体"/>
                      <w:bCs/>
                      <w:iCs/>
                      <w:spacing w:val="10"/>
                      <w:sz w:val="18"/>
                      <w:szCs w:val="18"/>
                    </w:rPr>
                  </w:pPr>
                  <w:r>
                    <w:rPr>
                      <w:rFonts w:hint="eastAsia" w:hAnsi="宋体" w:eastAsia="宋体" w:cs="宋体"/>
                      <w:sz w:val="18"/>
                      <w:szCs w:val="18"/>
                    </w:rPr>
                    <w:t>熟悉各行业产品要素密集度</w:t>
                  </w:r>
                </w:p>
              </w:tc>
              <w:tc>
                <w:tcPr>
                  <w:tcW w:w="1142" w:type="dxa"/>
                  <w:vMerge w:val="continue"/>
                  <w:vAlign w:val="center"/>
                </w:tcPr>
                <w:p w14:paraId="2902EBD5">
                  <w:pPr>
                    <w:pStyle w:val="6"/>
                    <w:jc w:val="center"/>
                    <w:rPr>
                      <w:rFonts w:hAnsi="宋体" w:eastAsia="宋体" w:cs="宋体"/>
                      <w:sz w:val="18"/>
                      <w:szCs w:val="18"/>
                    </w:rPr>
                  </w:pPr>
                </w:p>
              </w:tc>
            </w:tr>
            <w:tr w14:paraId="6F0C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361E2182">
                  <w:pPr>
                    <w:pStyle w:val="6"/>
                    <w:rPr>
                      <w:rFonts w:hAnsi="宋体" w:eastAsia="宋体" w:cs="宋体"/>
                      <w:sz w:val="18"/>
                      <w:szCs w:val="18"/>
                    </w:rPr>
                  </w:pPr>
                </w:p>
              </w:tc>
              <w:tc>
                <w:tcPr>
                  <w:tcW w:w="990" w:type="dxa"/>
                  <w:vMerge w:val="continue"/>
                  <w:vAlign w:val="center"/>
                </w:tcPr>
                <w:p w14:paraId="69E92A7C">
                  <w:pPr>
                    <w:pStyle w:val="6"/>
                    <w:rPr>
                      <w:rFonts w:hAnsi="宋体" w:eastAsia="宋体" w:cs="宋体"/>
                      <w:sz w:val="18"/>
                      <w:szCs w:val="18"/>
                    </w:rPr>
                  </w:pPr>
                </w:p>
              </w:tc>
              <w:tc>
                <w:tcPr>
                  <w:tcW w:w="3267" w:type="dxa"/>
                  <w:vAlign w:val="center"/>
                </w:tcPr>
                <w:p w14:paraId="17408146">
                  <w:pPr>
                    <w:pStyle w:val="6"/>
                    <w:rPr>
                      <w:rFonts w:hAnsi="宋体" w:eastAsia="宋体" w:cs="宋体"/>
                      <w:bCs/>
                      <w:iCs/>
                      <w:spacing w:val="10"/>
                      <w:sz w:val="18"/>
                      <w:szCs w:val="18"/>
                    </w:rPr>
                  </w:pPr>
                  <w:r>
                    <w:rPr>
                      <w:rFonts w:hint="eastAsia" w:hAnsi="宋体" w:eastAsia="宋体" w:cs="宋体"/>
                      <w:sz w:val="18"/>
                      <w:szCs w:val="18"/>
                    </w:rPr>
                    <w:t>熟悉要素禀赋相关理论</w:t>
                  </w:r>
                </w:p>
              </w:tc>
              <w:tc>
                <w:tcPr>
                  <w:tcW w:w="1142" w:type="dxa"/>
                  <w:vMerge w:val="continue"/>
                  <w:vAlign w:val="center"/>
                </w:tcPr>
                <w:p w14:paraId="3E1A93AD">
                  <w:pPr>
                    <w:pStyle w:val="6"/>
                    <w:jc w:val="center"/>
                    <w:rPr>
                      <w:rFonts w:hAnsi="宋体" w:eastAsia="宋体" w:cs="宋体"/>
                      <w:sz w:val="18"/>
                      <w:szCs w:val="18"/>
                    </w:rPr>
                  </w:pPr>
                </w:p>
              </w:tc>
            </w:tr>
            <w:tr w14:paraId="7B00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60654487">
                  <w:pPr>
                    <w:pStyle w:val="6"/>
                    <w:rPr>
                      <w:rFonts w:hAnsi="宋体" w:eastAsia="宋体" w:cs="宋体"/>
                      <w:sz w:val="18"/>
                      <w:szCs w:val="18"/>
                    </w:rPr>
                  </w:pPr>
                </w:p>
              </w:tc>
              <w:tc>
                <w:tcPr>
                  <w:tcW w:w="990" w:type="dxa"/>
                  <w:vMerge w:val="continue"/>
                  <w:vAlign w:val="center"/>
                </w:tcPr>
                <w:p w14:paraId="7D6EDC5F">
                  <w:pPr>
                    <w:pStyle w:val="6"/>
                    <w:rPr>
                      <w:rFonts w:hAnsi="宋体" w:eastAsia="宋体" w:cs="宋体"/>
                      <w:sz w:val="18"/>
                      <w:szCs w:val="18"/>
                    </w:rPr>
                  </w:pPr>
                </w:p>
              </w:tc>
              <w:tc>
                <w:tcPr>
                  <w:tcW w:w="3267" w:type="dxa"/>
                  <w:vAlign w:val="center"/>
                </w:tcPr>
                <w:p w14:paraId="3C4B6504">
                  <w:pPr>
                    <w:pStyle w:val="6"/>
                    <w:rPr>
                      <w:rFonts w:hAnsi="宋体" w:eastAsia="宋体" w:cs="宋体"/>
                      <w:bCs/>
                      <w:iCs/>
                      <w:spacing w:val="10"/>
                      <w:sz w:val="18"/>
                      <w:szCs w:val="18"/>
                    </w:rPr>
                  </w:pPr>
                  <w:r>
                    <w:rPr>
                      <w:rFonts w:hint="eastAsia" w:hAnsi="宋体" w:eastAsia="宋体" w:cs="宋体"/>
                      <w:sz w:val="18"/>
                      <w:szCs w:val="18"/>
                    </w:rPr>
                    <w:t>熟悉里昂惕夫悖论</w:t>
                  </w:r>
                </w:p>
              </w:tc>
              <w:tc>
                <w:tcPr>
                  <w:tcW w:w="1142" w:type="dxa"/>
                  <w:vMerge w:val="continue"/>
                  <w:vAlign w:val="center"/>
                </w:tcPr>
                <w:p w14:paraId="33C4B8C0">
                  <w:pPr>
                    <w:pStyle w:val="6"/>
                    <w:jc w:val="center"/>
                    <w:rPr>
                      <w:rFonts w:hAnsi="宋体" w:eastAsia="宋体" w:cs="宋体"/>
                      <w:sz w:val="18"/>
                      <w:szCs w:val="18"/>
                    </w:rPr>
                  </w:pPr>
                </w:p>
              </w:tc>
            </w:tr>
            <w:tr w14:paraId="5B24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4D2030E7">
                  <w:pPr>
                    <w:pStyle w:val="6"/>
                    <w:rPr>
                      <w:rFonts w:hAnsi="宋体" w:eastAsia="宋体" w:cs="宋体"/>
                      <w:sz w:val="18"/>
                      <w:szCs w:val="18"/>
                    </w:rPr>
                  </w:pPr>
                </w:p>
              </w:tc>
              <w:tc>
                <w:tcPr>
                  <w:tcW w:w="990" w:type="dxa"/>
                  <w:vMerge w:val="restart"/>
                  <w:vAlign w:val="center"/>
                </w:tcPr>
                <w:p w14:paraId="6C14022F">
                  <w:pPr>
                    <w:pStyle w:val="6"/>
                    <w:rPr>
                      <w:rFonts w:hAnsi="宋体" w:eastAsia="宋体" w:cs="宋体"/>
                      <w:sz w:val="18"/>
                      <w:szCs w:val="18"/>
                    </w:rPr>
                  </w:pPr>
                  <w:r>
                    <w:rPr>
                      <w:rFonts w:hint="eastAsia" w:hAnsi="宋体" w:eastAsia="宋体" w:cs="宋体"/>
                      <w:sz w:val="18"/>
                      <w:szCs w:val="18"/>
                    </w:rPr>
                    <w:t>实验实施</w:t>
                  </w:r>
                </w:p>
              </w:tc>
              <w:tc>
                <w:tcPr>
                  <w:tcW w:w="3267" w:type="dxa"/>
                </w:tcPr>
                <w:p w14:paraId="6FD90348">
                  <w:pPr>
                    <w:rPr>
                      <w:rFonts w:ascii="宋体" w:hAnsi="宋体" w:eastAsia="宋体" w:cs="宋体"/>
                      <w:sz w:val="18"/>
                      <w:szCs w:val="18"/>
                    </w:rPr>
                  </w:pPr>
                  <w:r>
                    <w:rPr>
                      <w:rFonts w:hint="eastAsia" w:ascii="宋体" w:hAnsi="宋体" w:eastAsia="宋体" w:cs="宋体"/>
                      <w:sz w:val="18"/>
                      <w:szCs w:val="18"/>
                    </w:rPr>
                    <w:t>各国对汽车、钢铁行业各产品要素密集度进行分析</w:t>
                  </w:r>
                </w:p>
              </w:tc>
              <w:tc>
                <w:tcPr>
                  <w:tcW w:w="1142" w:type="dxa"/>
                  <w:vMerge w:val="continue"/>
                  <w:vAlign w:val="center"/>
                </w:tcPr>
                <w:p w14:paraId="6AA9BDCC">
                  <w:pPr>
                    <w:pStyle w:val="6"/>
                    <w:jc w:val="center"/>
                    <w:rPr>
                      <w:rFonts w:hAnsi="宋体" w:eastAsia="宋体" w:cs="宋体"/>
                      <w:sz w:val="18"/>
                      <w:szCs w:val="18"/>
                    </w:rPr>
                  </w:pPr>
                </w:p>
              </w:tc>
            </w:tr>
            <w:tr w14:paraId="512E1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4BC4C82D">
                  <w:pPr>
                    <w:pStyle w:val="6"/>
                    <w:rPr>
                      <w:rFonts w:hAnsi="宋体" w:eastAsia="宋体" w:cs="宋体"/>
                      <w:sz w:val="18"/>
                      <w:szCs w:val="18"/>
                    </w:rPr>
                  </w:pPr>
                </w:p>
              </w:tc>
              <w:tc>
                <w:tcPr>
                  <w:tcW w:w="990" w:type="dxa"/>
                  <w:vMerge w:val="continue"/>
                  <w:vAlign w:val="center"/>
                </w:tcPr>
                <w:p w14:paraId="1D400876">
                  <w:pPr>
                    <w:pStyle w:val="6"/>
                    <w:rPr>
                      <w:rFonts w:hAnsi="宋体" w:eastAsia="宋体" w:cs="宋体"/>
                      <w:sz w:val="18"/>
                      <w:szCs w:val="18"/>
                    </w:rPr>
                  </w:pPr>
                </w:p>
              </w:tc>
              <w:tc>
                <w:tcPr>
                  <w:tcW w:w="3267" w:type="dxa"/>
                </w:tcPr>
                <w:p w14:paraId="31D8E262">
                  <w:pPr>
                    <w:tabs>
                      <w:tab w:val="right" w:pos="4343"/>
                    </w:tabs>
                    <w:rPr>
                      <w:rFonts w:ascii="宋体" w:hAnsi="宋体" w:eastAsia="宋体" w:cs="宋体"/>
                      <w:sz w:val="18"/>
                      <w:szCs w:val="18"/>
                    </w:rPr>
                  </w:pPr>
                  <w:r>
                    <w:rPr>
                      <w:rFonts w:hint="eastAsia" w:ascii="宋体" w:hAnsi="宋体" w:eastAsia="宋体" w:cs="宋体"/>
                      <w:sz w:val="18"/>
                      <w:szCs w:val="18"/>
                    </w:rPr>
                    <w:t>各国厂商在要素密集度下投产经营</w:t>
                  </w:r>
                  <w:r>
                    <w:rPr>
                      <w:rFonts w:hint="eastAsia" w:ascii="宋体" w:hAnsi="宋体" w:eastAsia="宋体" w:cs="宋体"/>
                      <w:sz w:val="18"/>
                      <w:szCs w:val="18"/>
                    </w:rPr>
                    <w:tab/>
                  </w:r>
                </w:p>
              </w:tc>
              <w:tc>
                <w:tcPr>
                  <w:tcW w:w="1142" w:type="dxa"/>
                  <w:vMerge w:val="continue"/>
                  <w:vAlign w:val="center"/>
                </w:tcPr>
                <w:p w14:paraId="016FA6B3">
                  <w:pPr>
                    <w:pStyle w:val="6"/>
                    <w:jc w:val="center"/>
                    <w:rPr>
                      <w:rFonts w:hAnsi="宋体" w:eastAsia="宋体" w:cs="宋体"/>
                      <w:sz w:val="18"/>
                      <w:szCs w:val="18"/>
                    </w:rPr>
                  </w:pPr>
                </w:p>
              </w:tc>
            </w:tr>
            <w:tr w14:paraId="74A8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3F0F7C4F">
                  <w:pPr>
                    <w:pStyle w:val="6"/>
                    <w:rPr>
                      <w:rFonts w:hAnsi="宋体" w:eastAsia="宋体" w:cs="宋体"/>
                      <w:sz w:val="18"/>
                      <w:szCs w:val="18"/>
                    </w:rPr>
                  </w:pPr>
                </w:p>
              </w:tc>
              <w:tc>
                <w:tcPr>
                  <w:tcW w:w="990" w:type="dxa"/>
                  <w:vMerge w:val="continue"/>
                  <w:vAlign w:val="center"/>
                </w:tcPr>
                <w:p w14:paraId="79B4CED9">
                  <w:pPr>
                    <w:pStyle w:val="6"/>
                    <w:rPr>
                      <w:rFonts w:hAnsi="宋体" w:eastAsia="宋体" w:cs="宋体"/>
                      <w:sz w:val="18"/>
                      <w:szCs w:val="18"/>
                    </w:rPr>
                  </w:pPr>
                </w:p>
              </w:tc>
              <w:tc>
                <w:tcPr>
                  <w:tcW w:w="3267" w:type="dxa"/>
                </w:tcPr>
                <w:p w14:paraId="3BAD82E4">
                  <w:pPr>
                    <w:rPr>
                      <w:rFonts w:ascii="宋体" w:hAnsi="宋体" w:eastAsia="宋体" w:cs="宋体"/>
                      <w:sz w:val="18"/>
                      <w:szCs w:val="18"/>
                    </w:rPr>
                  </w:pPr>
                  <w:r>
                    <w:rPr>
                      <w:rFonts w:hint="eastAsia" w:ascii="宋体" w:hAnsi="宋体" w:eastAsia="宋体" w:cs="宋体"/>
                      <w:sz w:val="18"/>
                      <w:szCs w:val="18"/>
                    </w:rPr>
                    <w:t>各国厂商根据国际经济趋势判断风险</w:t>
                  </w:r>
                </w:p>
              </w:tc>
              <w:tc>
                <w:tcPr>
                  <w:tcW w:w="1142" w:type="dxa"/>
                  <w:vMerge w:val="continue"/>
                  <w:vAlign w:val="center"/>
                </w:tcPr>
                <w:p w14:paraId="64F713F7">
                  <w:pPr>
                    <w:pStyle w:val="6"/>
                    <w:jc w:val="center"/>
                    <w:rPr>
                      <w:rFonts w:hAnsi="宋体" w:eastAsia="宋体" w:cs="宋体"/>
                      <w:sz w:val="18"/>
                      <w:szCs w:val="18"/>
                    </w:rPr>
                  </w:pPr>
                </w:p>
              </w:tc>
            </w:tr>
            <w:tr w14:paraId="32E6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425DFCD2">
                  <w:pPr>
                    <w:pStyle w:val="6"/>
                    <w:rPr>
                      <w:rFonts w:hAnsi="宋体" w:eastAsia="宋体" w:cs="宋体"/>
                      <w:sz w:val="18"/>
                      <w:szCs w:val="18"/>
                    </w:rPr>
                  </w:pPr>
                </w:p>
              </w:tc>
              <w:tc>
                <w:tcPr>
                  <w:tcW w:w="990" w:type="dxa"/>
                  <w:vMerge w:val="continue"/>
                  <w:vAlign w:val="center"/>
                </w:tcPr>
                <w:p w14:paraId="2BF565DF">
                  <w:pPr>
                    <w:pStyle w:val="6"/>
                    <w:rPr>
                      <w:rFonts w:hAnsi="宋体" w:eastAsia="宋体" w:cs="宋体"/>
                      <w:sz w:val="18"/>
                      <w:szCs w:val="18"/>
                    </w:rPr>
                  </w:pPr>
                </w:p>
              </w:tc>
              <w:tc>
                <w:tcPr>
                  <w:tcW w:w="3267" w:type="dxa"/>
                  <w:vAlign w:val="center"/>
                </w:tcPr>
                <w:p w14:paraId="08227BE5">
                  <w:pPr>
                    <w:pStyle w:val="6"/>
                    <w:rPr>
                      <w:rFonts w:hAnsi="宋体" w:eastAsia="宋体" w:cs="宋体"/>
                      <w:bCs/>
                      <w:iCs/>
                      <w:spacing w:val="10"/>
                      <w:sz w:val="18"/>
                      <w:szCs w:val="18"/>
                    </w:rPr>
                  </w:pPr>
                  <w:r>
                    <w:rPr>
                      <w:rFonts w:hint="eastAsia" w:hAnsi="宋体" w:eastAsia="宋体" w:cs="宋体"/>
                      <w:bCs/>
                      <w:iCs/>
                      <w:spacing w:val="10"/>
                      <w:sz w:val="18"/>
                      <w:szCs w:val="18"/>
                    </w:rPr>
                    <w:t>各类厂商不同要素密度下最优生产决策分析</w:t>
                  </w:r>
                </w:p>
              </w:tc>
              <w:tc>
                <w:tcPr>
                  <w:tcW w:w="1142" w:type="dxa"/>
                  <w:vMerge w:val="continue"/>
                  <w:vAlign w:val="center"/>
                </w:tcPr>
                <w:p w14:paraId="60EBA2E9">
                  <w:pPr>
                    <w:pStyle w:val="6"/>
                    <w:jc w:val="center"/>
                    <w:rPr>
                      <w:rFonts w:hAnsi="宋体" w:eastAsia="宋体" w:cs="宋体"/>
                      <w:sz w:val="18"/>
                      <w:szCs w:val="18"/>
                    </w:rPr>
                  </w:pPr>
                </w:p>
              </w:tc>
            </w:tr>
            <w:tr w14:paraId="0722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12A7A4F7">
                  <w:pPr>
                    <w:pStyle w:val="6"/>
                    <w:rPr>
                      <w:rFonts w:hAnsi="宋体" w:eastAsia="宋体" w:cs="宋体"/>
                      <w:sz w:val="18"/>
                      <w:szCs w:val="18"/>
                    </w:rPr>
                  </w:pPr>
                </w:p>
              </w:tc>
              <w:tc>
                <w:tcPr>
                  <w:tcW w:w="990" w:type="dxa"/>
                  <w:vMerge w:val="restart"/>
                  <w:vAlign w:val="center"/>
                </w:tcPr>
                <w:p w14:paraId="7F47FF8D">
                  <w:pPr>
                    <w:pStyle w:val="6"/>
                    <w:rPr>
                      <w:rFonts w:hAnsi="宋体" w:eastAsia="宋体" w:cs="宋体"/>
                      <w:sz w:val="18"/>
                      <w:szCs w:val="18"/>
                    </w:rPr>
                  </w:pPr>
                  <w:r>
                    <w:rPr>
                      <w:rFonts w:hint="eastAsia" w:hAnsi="宋体" w:eastAsia="宋体" w:cs="宋体"/>
                      <w:sz w:val="18"/>
                      <w:szCs w:val="18"/>
                    </w:rPr>
                    <w:t>实验总结</w:t>
                  </w:r>
                </w:p>
              </w:tc>
              <w:tc>
                <w:tcPr>
                  <w:tcW w:w="3267" w:type="dxa"/>
                  <w:vAlign w:val="center"/>
                </w:tcPr>
                <w:p w14:paraId="529D369E">
                  <w:pPr>
                    <w:pStyle w:val="6"/>
                    <w:rPr>
                      <w:rFonts w:hAnsi="宋体" w:eastAsia="宋体" w:cs="宋体"/>
                      <w:bCs/>
                      <w:iCs/>
                      <w:spacing w:val="10"/>
                      <w:sz w:val="18"/>
                      <w:szCs w:val="18"/>
                    </w:rPr>
                  </w:pPr>
                  <w:r>
                    <w:rPr>
                      <w:rFonts w:hint="eastAsia" w:hAnsi="宋体" w:eastAsia="宋体" w:cs="宋体"/>
                      <w:bCs/>
                      <w:iCs/>
                      <w:spacing w:val="10"/>
                      <w:sz w:val="18"/>
                      <w:szCs w:val="18"/>
                    </w:rPr>
                    <w:t>总结要素密集度在不同行业不同国家中的体现</w:t>
                  </w:r>
                </w:p>
              </w:tc>
              <w:tc>
                <w:tcPr>
                  <w:tcW w:w="1142" w:type="dxa"/>
                  <w:vMerge w:val="continue"/>
                  <w:vAlign w:val="center"/>
                </w:tcPr>
                <w:p w14:paraId="0D566DBE">
                  <w:pPr>
                    <w:pStyle w:val="6"/>
                    <w:jc w:val="center"/>
                    <w:rPr>
                      <w:rFonts w:hAnsi="宋体" w:eastAsia="宋体" w:cs="宋体"/>
                      <w:sz w:val="18"/>
                      <w:szCs w:val="18"/>
                    </w:rPr>
                  </w:pPr>
                </w:p>
              </w:tc>
            </w:tr>
            <w:tr w14:paraId="44F1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6DD1A979">
                  <w:pPr>
                    <w:pStyle w:val="6"/>
                    <w:rPr>
                      <w:rFonts w:hAnsi="宋体" w:eastAsia="宋体" w:cs="宋体"/>
                      <w:sz w:val="18"/>
                      <w:szCs w:val="18"/>
                    </w:rPr>
                  </w:pPr>
                </w:p>
              </w:tc>
              <w:tc>
                <w:tcPr>
                  <w:tcW w:w="990" w:type="dxa"/>
                  <w:vMerge w:val="continue"/>
                  <w:vAlign w:val="center"/>
                </w:tcPr>
                <w:p w14:paraId="35AE63C0">
                  <w:pPr>
                    <w:pStyle w:val="6"/>
                    <w:rPr>
                      <w:rFonts w:hAnsi="宋体" w:eastAsia="宋体" w:cs="宋体"/>
                      <w:sz w:val="18"/>
                      <w:szCs w:val="18"/>
                    </w:rPr>
                  </w:pPr>
                </w:p>
              </w:tc>
              <w:tc>
                <w:tcPr>
                  <w:tcW w:w="3267" w:type="dxa"/>
                  <w:vAlign w:val="center"/>
                </w:tcPr>
                <w:p w14:paraId="2883EE00">
                  <w:pPr>
                    <w:pStyle w:val="6"/>
                    <w:rPr>
                      <w:rFonts w:hAnsi="宋体" w:eastAsia="宋体" w:cs="宋体"/>
                      <w:bCs/>
                      <w:iCs/>
                      <w:spacing w:val="10"/>
                      <w:sz w:val="18"/>
                      <w:szCs w:val="18"/>
                    </w:rPr>
                  </w:pPr>
                  <w:r>
                    <w:rPr>
                      <w:rFonts w:hint="eastAsia" w:hAnsi="宋体" w:eastAsia="宋体" w:cs="宋体"/>
                      <w:sz w:val="18"/>
                      <w:szCs w:val="18"/>
                    </w:rPr>
                    <w:t>总结不同国家中的厂商决策</w:t>
                  </w:r>
                </w:p>
              </w:tc>
              <w:tc>
                <w:tcPr>
                  <w:tcW w:w="1142" w:type="dxa"/>
                  <w:vMerge w:val="continue"/>
                  <w:vAlign w:val="center"/>
                </w:tcPr>
                <w:p w14:paraId="0A26FCF1">
                  <w:pPr>
                    <w:pStyle w:val="6"/>
                    <w:jc w:val="center"/>
                    <w:rPr>
                      <w:rFonts w:hAnsi="宋体" w:eastAsia="宋体" w:cs="宋体"/>
                      <w:sz w:val="18"/>
                      <w:szCs w:val="18"/>
                    </w:rPr>
                  </w:pPr>
                </w:p>
              </w:tc>
            </w:tr>
            <w:tr w14:paraId="4F09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9" w:type="dxa"/>
                  <w:vMerge w:val="continue"/>
                  <w:vAlign w:val="center"/>
                </w:tcPr>
                <w:p w14:paraId="6046261F">
                  <w:pPr>
                    <w:pStyle w:val="6"/>
                    <w:rPr>
                      <w:rFonts w:hAnsi="宋体" w:eastAsia="宋体" w:cs="宋体"/>
                      <w:sz w:val="18"/>
                      <w:szCs w:val="18"/>
                    </w:rPr>
                  </w:pPr>
                </w:p>
              </w:tc>
              <w:tc>
                <w:tcPr>
                  <w:tcW w:w="990" w:type="dxa"/>
                  <w:vMerge w:val="continue"/>
                  <w:vAlign w:val="center"/>
                </w:tcPr>
                <w:p w14:paraId="22F70C2C">
                  <w:pPr>
                    <w:pStyle w:val="6"/>
                    <w:rPr>
                      <w:rFonts w:hAnsi="宋体" w:eastAsia="宋体" w:cs="宋体"/>
                      <w:sz w:val="18"/>
                      <w:szCs w:val="18"/>
                    </w:rPr>
                  </w:pPr>
                </w:p>
              </w:tc>
              <w:tc>
                <w:tcPr>
                  <w:tcW w:w="3267" w:type="dxa"/>
                  <w:vAlign w:val="center"/>
                </w:tcPr>
                <w:p w14:paraId="59D971E1">
                  <w:pPr>
                    <w:pStyle w:val="6"/>
                    <w:rPr>
                      <w:rFonts w:hAnsi="宋体" w:eastAsia="宋体" w:cs="宋体"/>
                      <w:bCs/>
                      <w:iCs/>
                      <w:spacing w:val="10"/>
                      <w:sz w:val="18"/>
                      <w:szCs w:val="18"/>
                    </w:rPr>
                  </w:pPr>
                  <w:r>
                    <w:rPr>
                      <w:rFonts w:hint="eastAsia" w:hAnsi="宋体" w:eastAsia="宋体" w:cs="宋体"/>
                      <w:sz w:val="18"/>
                      <w:szCs w:val="18"/>
                    </w:rPr>
                    <w:t>总结不同要素密集度厂商的收益与成本曲线</w:t>
                  </w:r>
                </w:p>
              </w:tc>
              <w:tc>
                <w:tcPr>
                  <w:tcW w:w="1142" w:type="dxa"/>
                  <w:vMerge w:val="continue"/>
                </w:tcPr>
                <w:p w14:paraId="4E50918C">
                  <w:pPr>
                    <w:pStyle w:val="6"/>
                    <w:rPr>
                      <w:rFonts w:hAnsi="宋体" w:eastAsia="宋体" w:cs="宋体"/>
                      <w:bCs/>
                      <w:iCs/>
                      <w:spacing w:val="10"/>
                      <w:sz w:val="18"/>
                      <w:szCs w:val="18"/>
                    </w:rPr>
                  </w:pPr>
                </w:p>
              </w:tc>
            </w:tr>
          </w:tbl>
          <w:p w14:paraId="083968F5">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6754355D">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每一年度分别在汽车、钢铁行业形成不同要素密集度</w:t>
            </w:r>
          </w:p>
          <w:p w14:paraId="18906742">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各国厂商在不同要素密集度下投产经营</w:t>
            </w:r>
          </w:p>
          <w:p w14:paraId="4392A4D4">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各国厂商每一年度分析不同要素密集度下的收益和成本</w:t>
            </w:r>
          </w:p>
          <w:p w14:paraId="7DD3E146">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分析要素密集度对投资和经营决策的影响</w:t>
            </w:r>
          </w:p>
          <w:p w14:paraId="0F9F6291">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总结不同要素密集度下的厂商决策行为</w:t>
            </w:r>
          </w:p>
          <w:p w14:paraId="025C7CC1">
            <w:pPr>
              <w:ind w:firstLine="527" w:firstLineChars="250"/>
              <w:rPr>
                <w:rFonts w:ascii="宋体" w:hAnsi="宋体" w:eastAsia="宋体" w:cs="宋体"/>
                <w:b/>
                <w:szCs w:val="21"/>
              </w:rPr>
            </w:pPr>
            <w:r>
              <w:rPr>
                <w:rFonts w:hint="eastAsia" w:ascii="宋体" w:hAnsi="宋体" w:eastAsia="宋体" w:cs="宋体"/>
                <w:b/>
                <w:szCs w:val="21"/>
              </w:rPr>
              <w:t>2）实验成果</w:t>
            </w:r>
          </w:p>
          <w:p w14:paraId="3EAC39A4">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各国厂商要素密集度分析</w:t>
            </w:r>
          </w:p>
          <w:p w14:paraId="20739525">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不同要素密集度下的厂商行为决策</w:t>
            </w:r>
          </w:p>
          <w:p w14:paraId="340F58F7">
            <w:pPr>
              <w:numPr>
                <w:ilvl w:val="3"/>
                <w:numId w:val="8"/>
              </w:numPr>
              <w:rPr>
                <w:rFonts w:ascii="宋体" w:hAnsi="宋体" w:eastAsia="宋体" w:cs="宋体"/>
                <w:b/>
                <w:color w:val="000000"/>
                <w:kern w:val="0"/>
                <w:szCs w:val="21"/>
              </w:rPr>
            </w:pPr>
            <w:bookmarkStart w:id="4" w:name="_Toc29355"/>
            <w:r>
              <w:rPr>
                <w:rFonts w:hint="eastAsia" w:ascii="宋体" w:hAnsi="宋体" w:eastAsia="宋体" w:cs="宋体"/>
                <w:b/>
                <w:color w:val="000000"/>
                <w:kern w:val="0"/>
                <w:szCs w:val="21"/>
              </w:rPr>
              <w:t>需求、技术变化与国际贸易实验</w:t>
            </w:r>
            <w:bookmarkEnd w:id="4"/>
          </w:p>
          <w:p w14:paraId="507A0A8A">
            <w:pPr>
              <w:pStyle w:val="6"/>
              <w:jc w:val="center"/>
              <w:rPr>
                <w:rFonts w:hAnsi="宋体" w:eastAsia="宋体" w:cs="宋体"/>
              </w:rPr>
            </w:pPr>
            <w:r>
              <w:rPr>
                <w:rFonts w:hint="eastAsia" w:hAnsi="宋体" w:eastAsia="宋体" w:cs="宋体"/>
              </w:rPr>
              <w:t>表3 需求、技术变化与国际贸易实验项目</w:t>
            </w:r>
          </w:p>
          <w:tbl>
            <w:tblPr>
              <w:tblStyle w:val="12"/>
              <w:tblW w:w="6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981"/>
              <w:gridCol w:w="3174"/>
              <w:gridCol w:w="1189"/>
            </w:tblGrid>
            <w:tr w14:paraId="37E1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35" w:type="dxa"/>
                  <w:shd w:val="clear" w:color="auto" w:fill="E6E6E6"/>
                  <w:vAlign w:val="center"/>
                </w:tcPr>
                <w:p w14:paraId="0C98837C">
                  <w:pPr>
                    <w:pStyle w:val="6"/>
                    <w:jc w:val="center"/>
                    <w:rPr>
                      <w:rFonts w:hAnsi="宋体" w:eastAsia="宋体" w:cs="宋体"/>
                      <w:sz w:val="18"/>
                      <w:szCs w:val="18"/>
                    </w:rPr>
                  </w:pPr>
                  <w:r>
                    <w:rPr>
                      <w:rFonts w:hint="eastAsia" w:hAnsi="宋体" w:eastAsia="宋体" w:cs="宋体"/>
                      <w:sz w:val="18"/>
                      <w:szCs w:val="18"/>
                    </w:rPr>
                    <w:t>一级模块</w:t>
                  </w:r>
                </w:p>
              </w:tc>
              <w:tc>
                <w:tcPr>
                  <w:tcW w:w="981" w:type="dxa"/>
                  <w:shd w:val="clear" w:color="auto" w:fill="E6E6E6"/>
                  <w:vAlign w:val="center"/>
                </w:tcPr>
                <w:p w14:paraId="7BB383D5">
                  <w:pPr>
                    <w:pStyle w:val="6"/>
                    <w:jc w:val="center"/>
                    <w:rPr>
                      <w:rFonts w:hAnsi="宋体" w:eastAsia="宋体" w:cs="宋体"/>
                      <w:sz w:val="18"/>
                      <w:szCs w:val="18"/>
                    </w:rPr>
                  </w:pPr>
                  <w:r>
                    <w:rPr>
                      <w:rFonts w:hint="eastAsia" w:hAnsi="宋体" w:eastAsia="宋体" w:cs="宋体"/>
                      <w:sz w:val="18"/>
                      <w:szCs w:val="18"/>
                    </w:rPr>
                    <w:t>二级模块</w:t>
                  </w:r>
                </w:p>
              </w:tc>
              <w:tc>
                <w:tcPr>
                  <w:tcW w:w="3174" w:type="dxa"/>
                  <w:shd w:val="clear" w:color="auto" w:fill="E6E6E6"/>
                  <w:vAlign w:val="center"/>
                </w:tcPr>
                <w:p w14:paraId="5354BB7F">
                  <w:pPr>
                    <w:pStyle w:val="6"/>
                    <w:jc w:val="center"/>
                    <w:rPr>
                      <w:rFonts w:hAnsi="宋体" w:eastAsia="宋体" w:cs="宋体"/>
                      <w:sz w:val="18"/>
                      <w:szCs w:val="18"/>
                    </w:rPr>
                  </w:pPr>
                  <w:r>
                    <w:rPr>
                      <w:rFonts w:hint="eastAsia" w:hAnsi="宋体" w:eastAsia="宋体" w:cs="宋体"/>
                      <w:sz w:val="18"/>
                      <w:szCs w:val="18"/>
                    </w:rPr>
                    <w:t>实验项目名称</w:t>
                  </w:r>
                </w:p>
              </w:tc>
              <w:tc>
                <w:tcPr>
                  <w:tcW w:w="1189" w:type="dxa"/>
                  <w:shd w:val="clear" w:color="auto" w:fill="E6E6E6"/>
                  <w:vAlign w:val="center"/>
                </w:tcPr>
                <w:p w14:paraId="007CE23B">
                  <w:pPr>
                    <w:pStyle w:val="6"/>
                    <w:jc w:val="center"/>
                    <w:rPr>
                      <w:rFonts w:hAnsi="宋体" w:eastAsia="宋体" w:cs="宋体"/>
                      <w:sz w:val="18"/>
                      <w:szCs w:val="18"/>
                    </w:rPr>
                  </w:pPr>
                  <w:r>
                    <w:rPr>
                      <w:rFonts w:hint="eastAsia" w:hAnsi="宋体" w:eastAsia="宋体" w:cs="宋体"/>
                      <w:sz w:val="18"/>
                      <w:szCs w:val="18"/>
                    </w:rPr>
                    <w:t>涉及知识点</w:t>
                  </w:r>
                </w:p>
              </w:tc>
            </w:tr>
            <w:tr w14:paraId="1233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restart"/>
                  <w:vAlign w:val="center"/>
                </w:tcPr>
                <w:p w14:paraId="0A7E6068">
                  <w:pPr>
                    <w:pStyle w:val="6"/>
                    <w:rPr>
                      <w:rFonts w:hAnsi="宋体" w:eastAsia="宋体" w:cs="宋体"/>
                      <w:sz w:val="18"/>
                      <w:szCs w:val="18"/>
                    </w:rPr>
                  </w:pPr>
                  <w:r>
                    <w:rPr>
                      <w:rFonts w:hint="eastAsia" w:hAnsi="宋体" w:eastAsia="宋体" w:cs="宋体"/>
                      <w:sz w:val="18"/>
                      <w:szCs w:val="18"/>
                    </w:rPr>
                    <w:t>需求、技术变化与国际贸易实验</w:t>
                  </w:r>
                </w:p>
              </w:tc>
              <w:tc>
                <w:tcPr>
                  <w:tcW w:w="981" w:type="dxa"/>
                  <w:vMerge w:val="restart"/>
                  <w:vAlign w:val="center"/>
                </w:tcPr>
                <w:p w14:paraId="34CB2A3A">
                  <w:pPr>
                    <w:pStyle w:val="6"/>
                    <w:rPr>
                      <w:rFonts w:hAnsi="宋体" w:eastAsia="宋体" w:cs="宋体"/>
                      <w:sz w:val="18"/>
                      <w:szCs w:val="18"/>
                    </w:rPr>
                  </w:pPr>
                  <w:r>
                    <w:rPr>
                      <w:rFonts w:hint="eastAsia" w:hAnsi="宋体" w:eastAsia="宋体" w:cs="宋体"/>
                      <w:sz w:val="18"/>
                      <w:szCs w:val="18"/>
                    </w:rPr>
                    <w:t>导入培训</w:t>
                  </w:r>
                </w:p>
              </w:tc>
              <w:tc>
                <w:tcPr>
                  <w:tcW w:w="3174" w:type="dxa"/>
                  <w:vAlign w:val="center"/>
                </w:tcPr>
                <w:p w14:paraId="3F2A7C0E">
                  <w:pPr>
                    <w:pStyle w:val="6"/>
                    <w:rPr>
                      <w:rFonts w:hAnsi="宋体" w:eastAsia="宋体" w:cs="宋体"/>
                      <w:sz w:val="18"/>
                      <w:szCs w:val="18"/>
                    </w:rPr>
                  </w:pPr>
                  <w:r>
                    <w:rPr>
                      <w:rFonts w:hint="eastAsia" w:hAnsi="宋体" w:eastAsia="宋体" w:cs="宋体"/>
                      <w:bCs/>
                      <w:iCs/>
                      <w:spacing w:val="10"/>
                      <w:sz w:val="18"/>
                      <w:szCs w:val="18"/>
                    </w:rPr>
                    <w:t>开放经济下</w:t>
                  </w:r>
                  <w:r>
                    <w:rPr>
                      <w:rFonts w:hint="eastAsia" w:hAnsi="宋体" w:eastAsia="宋体" w:cs="宋体"/>
                      <w:sz w:val="18"/>
                      <w:szCs w:val="18"/>
                    </w:rPr>
                    <w:t>各国需求结构变化</w:t>
                  </w:r>
                </w:p>
              </w:tc>
              <w:tc>
                <w:tcPr>
                  <w:tcW w:w="1189" w:type="dxa"/>
                  <w:vMerge w:val="restart"/>
                  <w:vAlign w:val="center"/>
                </w:tcPr>
                <w:p w14:paraId="2BFC1AB8">
                  <w:pPr>
                    <w:pStyle w:val="6"/>
                    <w:jc w:val="center"/>
                    <w:rPr>
                      <w:rFonts w:hAnsi="宋体" w:eastAsia="宋体" w:cs="宋体"/>
                      <w:sz w:val="18"/>
                      <w:szCs w:val="18"/>
                    </w:rPr>
                  </w:pPr>
                  <w:r>
                    <w:rPr>
                      <w:rFonts w:hint="eastAsia" w:hAnsi="宋体" w:eastAsia="宋体" w:cs="宋体"/>
                      <w:sz w:val="18"/>
                      <w:szCs w:val="18"/>
                    </w:rPr>
                    <w:t>重叠需求理论</w:t>
                  </w:r>
                </w:p>
                <w:p w14:paraId="501F73FB">
                  <w:pPr>
                    <w:pStyle w:val="6"/>
                    <w:jc w:val="center"/>
                    <w:rPr>
                      <w:rFonts w:hAnsi="宋体" w:eastAsia="宋体" w:cs="宋体"/>
                      <w:sz w:val="18"/>
                      <w:szCs w:val="18"/>
                    </w:rPr>
                  </w:pPr>
                  <w:r>
                    <w:rPr>
                      <w:rFonts w:hint="eastAsia" w:hAnsi="宋体" w:eastAsia="宋体" w:cs="宋体"/>
                      <w:sz w:val="18"/>
                      <w:szCs w:val="18"/>
                    </w:rPr>
                    <w:t>产品周期理论</w:t>
                  </w:r>
                </w:p>
              </w:tc>
            </w:tr>
            <w:tr w14:paraId="5198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48872314">
                  <w:pPr>
                    <w:pStyle w:val="6"/>
                    <w:rPr>
                      <w:rFonts w:hAnsi="宋体" w:eastAsia="宋体" w:cs="宋体"/>
                      <w:sz w:val="18"/>
                      <w:szCs w:val="18"/>
                    </w:rPr>
                  </w:pPr>
                </w:p>
              </w:tc>
              <w:tc>
                <w:tcPr>
                  <w:tcW w:w="981" w:type="dxa"/>
                  <w:vMerge w:val="continue"/>
                  <w:vAlign w:val="center"/>
                </w:tcPr>
                <w:p w14:paraId="6A48E548">
                  <w:pPr>
                    <w:pStyle w:val="6"/>
                    <w:rPr>
                      <w:rFonts w:hAnsi="宋体" w:eastAsia="宋体" w:cs="宋体"/>
                      <w:sz w:val="18"/>
                      <w:szCs w:val="18"/>
                    </w:rPr>
                  </w:pPr>
                </w:p>
              </w:tc>
              <w:tc>
                <w:tcPr>
                  <w:tcW w:w="3174" w:type="dxa"/>
                  <w:vAlign w:val="center"/>
                </w:tcPr>
                <w:p w14:paraId="03883EF0">
                  <w:pPr>
                    <w:pStyle w:val="6"/>
                    <w:rPr>
                      <w:rFonts w:hAnsi="宋体" w:eastAsia="宋体" w:cs="宋体"/>
                      <w:bCs/>
                      <w:iCs/>
                      <w:spacing w:val="10"/>
                      <w:sz w:val="18"/>
                      <w:szCs w:val="18"/>
                    </w:rPr>
                  </w:pPr>
                  <w:r>
                    <w:rPr>
                      <w:rFonts w:hint="eastAsia" w:hAnsi="宋体" w:eastAsia="宋体" w:cs="宋体"/>
                      <w:bCs/>
                      <w:iCs/>
                      <w:spacing w:val="10"/>
                      <w:sz w:val="18"/>
                      <w:szCs w:val="18"/>
                    </w:rPr>
                    <w:t>高档生产线对产品周期的影响</w:t>
                  </w:r>
                </w:p>
              </w:tc>
              <w:tc>
                <w:tcPr>
                  <w:tcW w:w="1189" w:type="dxa"/>
                  <w:vMerge w:val="continue"/>
                  <w:vAlign w:val="center"/>
                </w:tcPr>
                <w:p w14:paraId="10075062">
                  <w:pPr>
                    <w:pStyle w:val="6"/>
                    <w:jc w:val="center"/>
                    <w:rPr>
                      <w:rFonts w:hAnsi="宋体" w:eastAsia="宋体" w:cs="宋体"/>
                      <w:sz w:val="18"/>
                      <w:szCs w:val="18"/>
                    </w:rPr>
                  </w:pPr>
                </w:p>
              </w:tc>
            </w:tr>
            <w:tr w14:paraId="3A35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432E4309">
                  <w:pPr>
                    <w:pStyle w:val="6"/>
                    <w:rPr>
                      <w:rFonts w:hAnsi="宋体" w:eastAsia="宋体" w:cs="宋体"/>
                      <w:sz w:val="18"/>
                      <w:szCs w:val="18"/>
                    </w:rPr>
                  </w:pPr>
                </w:p>
              </w:tc>
              <w:tc>
                <w:tcPr>
                  <w:tcW w:w="981" w:type="dxa"/>
                  <w:vMerge w:val="restart"/>
                  <w:vAlign w:val="center"/>
                </w:tcPr>
                <w:p w14:paraId="60B905E5">
                  <w:pPr>
                    <w:pStyle w:val="6"/>
                    <w:rPr>
                      <w:rFonts w:hAnsi="宋体" w:eastAsia="宋体" w:cs="宋体"/>
                      <w:sz w:val="18"/>
                      <w:szCs w:val="18"/>
                    </w:rPr>
                  </w:pPr>
                  <w:r>
                    <w:rPr>
                      <w:rFonts w:hint="eastAsia" w:hAnsi="宋体" w:eastAsia="宋体" w:cs="宋体"/>
                      <w:sz w:val="18"/>
                      <w:szCs w:val="18"/>
                    </w:rPr>
                    <w:t>实验准备</w:t>
                  </w:r>
                </w:p>
              </w:tc>
              <w:tc>
                <w:tcPr>
                  <w:tcW w:w="3174" w:type="dxa"/>
                  <w:vAlign w:val="center"/>
                </w:tcPr>
                <w:p w14:paraId="2974DCBA">
                  <w:pPr>
                    <w:pStyle w:val="6"/>
                    <w:rPr>
                      <w:rFonts w:hAnsi="宋体" w:eastAsia="宋体" w:cs="宋体"/>
                      <w:bCs/>
                      <w:iCs/>
                      <w:spacing w:val="10"/>
                      <w:sz w:val="18"/>
                      <w:szCs w:val="18"/>
                    </w:rPr>
                  </w:pPr>
                  <w:r>
                    <w:rPr>
                      <w:rFonts w:hint="eastAsia" w:hAnsi="宋体" w:eastAsia="宋体" w:cs="宋体"/>
                      <w:sz w:val="18"/>
                      <w:szCs w:val="18"/>
                    </w:rPr>
                    <w:t>熟悉重叠需求理论</w:t>
                  </w:r>
                </w:p>
              </w:tc>
              <w:tc>
                <w:tcPr>
                  <w:tcW w:w="1189" w:type="dxa"/>
                  <w:vMerge w:val="continue"/>
                  <w:vAlign w:val="center"/>
                </w:tcPr>
                <w:p w14:paraId="77234E88">
                  <w:pPr>
                    <w:pStyle w:val="6"/>
                    <w:jc w:val="center"/>
                    <w:rPr>
                      <w:rFonts w:hAnsi="宋体" w:eastAsia="宋体" w:cs="宋体"/>
                      <w:sz w:val="18"/>
                      <w:szCs w:val="18"/>
                    </w:rPr>
                  </w:pPr>
                </w:p>
              </w:tc>
            </w:tr>
            <w:tr w14:paraId="1257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4233785C">
                  <w:pPr>
                    <w:pStyle w:val="6"/>
                    <w:rPr>
                      <w:rFonts w:hAnsi="宋体" w:eastAsia="宋体" w:cs="宋体"/>
                      <w:sz w:val="18"/>
                      <w:szCs w:val="18"/>
                    </w:rPr>
                  </w:pPr>
                </w:p>
              </w:tc>
              <w:tc>
                <w:tcPr>
                  <w:tcW w:w="981" w:type="dxa"/>
                  <w:vMerge w:val="continue"/>
                  <w:vAlign w:val="center"/>
                </w:tcPr>
                <w:p w14:paraId="7A8431DD">
                  <w:pPr>
                    <w:pStyle w:val="6"/>
                    <w:rPr>
                      <w:rFonts w:hAnsi="宋体" w:eastAsia="宋体" w:cs="宋体"/>
                      <w:sz w:val="18"/>
                      <w:szCs w:val="18"/>
                    </w:rPr>
                  </w:pPr>
                </w:p>
              </w:tc>
              <w:tc>
                <w:tcPr>
                  <w:tcW w:w="3174" w:type="dxa"/>
                  <w:vAlign w:val="center"/>
                </w:tcPr>
                <w:p w14:paraId="5D480EC7">
                  <w:pPr>
                    <w:pStyle w:val="6"/>
                    <w:rPr>
                      <w:rFonts w:hAnsi="宋体" w:eastAsia="宋体" w:cs="宋体"/>
                      <w:bCs/>
                      <w:iCs/>
                      <w:spacing w:val="10"/>
                      <w:sz w:val="18"/>
                      <w:szCs w:val="18"/>
                    </w:rPr>
                  </w:pPr>
                  <w:r>
                    <w:rPr>
                      <w:rFonts w:hint="eastAsia" w:hAnsi="宋体" w:eastAsia="宋体" w:cs="宋体"/>
                      <w:bCs/>
                      <w:iCs/>
                      <w:spacing w:val="10"/>
                      <w:sz w:val="18"/>
                      <w:szCs w:val="18"/>
                    </w:rPr>
                    <w:t>熟悉产品周期理论</w:t>
                  </w:r>
                </w:p>
              </w:tc>
              <w:tc>
                <w:tcPr>
                  <w:tcW w:w="1189" w:type="dxa"/>
                  <w:vMerge w:val="continue"/>
                  <w:vAlign w:val="center"/>
                </w:tcPr>
                <w:p w14:paraId="7D5D7353">
                  <w:pPr>
                    <w:pStyle w:val="6"/>
                    <w:jc w:val="center"/>
                    <w:rPr>
                      <w:rFonts w:hAnsi="宋体" w:eastAsia="宋体" w:cs="宋体"/>
                      <w:sz w:val="18"/>
                      <w:szCs w:val="18"/>
                    </w:rPr>
                  </w:pPr>
                </w:p>
              </w:tc>
            </w:tr>
            <w:tr w14:paraId="5AB18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08A933D2">
                  <w:pPr>
                    <w:pStyle w:val="6"/>
                    <w:rPr>
                      <w:rFonts w:hAnsi="宋体" w:eastAsia="宋体" w:cs="宋体"/>
                      <w:sz w:val="18"/>
                      <w:szCs w:val="18"/>
                    </w:rPr>
                  </w:pPr>
                </w:p>
              </w:tc>
              <w:tc>
                <w:tcPr>
                  <w:tcW w:w="981" w:type="dxa"/>
                  <w:vMerge w:val="restart"/>
                  <w:vAlign w:val="center"/>
                </w:tcPr>
                <w:p w14:paraId="1E4BB381">
                  <w:pPr>
                    <w:pStyle w:val="6"/>
                    <w:rPr>
                      <w:rFonts w:hAnsi="宋体" w:eastAsia="宋体" w:cs="宋体"/>
                      <w:sz w:val="18"/>
                      <w:szCs w:val="18"/>
                    </w:rPr>
                  </w:pPr>
                  <w:r>
                    <w:rPr>
                      <w:rFonts w:hint="eastAsia" w:hAnsi="宋体" w:eastAsia="宋体" w:cs="宋体"/>
                      <w:sz w:val="18"/>
                      <w:szCs w:val="18"/>
                    </w:rPr>
                    <w:t>实验实施</w:t>
                  </w:r>
                </w:p>
              </w:tc>
              <w:tc>
                <w:tcPr>
                  <w:tcW w:w="3174" w:type="dxa"/>
                  <w:vAlign w:val="center"/>
                </w:tcPr>
                <w:p w14:paraId="5D33F8FF">
                  <w:pPr>
                    <w:pStyle w:val="6"/>
                    <w:rPr>
                      <w:rFonts w:hAnsi="宋体" w:eastAsia="宋体" w:cs="宋体"/>
                      <w:bCs/>
                      <w:iCs/>
                      <w:spacing w:val="10"/>
                      <w:sz w:val="18"/>
                      <w:szCs w:val="18"/>
                    </w:rPr>
                  </w:pPr>
                  <w:r>
                    <w:rPr>
                      <w:rFonts w:hint="eastAsia" w:hAnsi="宋体" w:eastAsia="宋体" w:cs="宋体"/>
                      <w:bCs/>
                      <w:iCs/>
                      <w:spacing w:val="10"/>
                      <w:sz w:val="18"/>
                      <w:szCs w:val="18"/>
                    </w:rPr>
                    <w:t>各国分析在开放经济下随着工资升高需求结构变化情况</w:t>
                  </w:r>
                </w:p>
              </w:tc>
              <w:tc>
                <w:tcPr>
                  <w:tcW w:w="1189" w:type="dxa"/>
                  <w:vMerge w:val="continue"/>
                  <w:vAlign w:val="center"/>
                </w:tcPr>
                <w:p w14:paraId="29166772">
                  <w:pPr>
                    <w:pStyle w:val="6"/>
                    <w:jc w:val="center"/>
                    <w:rPr>
                      <w:rFonts w:hAnsi="宋体" w:eastAsia="宋体" w:cs="宋体"/>
                      <w:sz w:val="18"/>
                      <w:szCs w:val="18"/>
                    </w:rPr>
                  </w:pPr>
                </w:p>
              </w:tc>
            </w:tr>
            <w:tr w14:paraId="28FB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66C3453C">
                  <w:pPr>
                    <w:pStyle w:val="6"/>
                    <w:rPr>
                      <w:rFonts w:hAnsi="宋体" w:eastAsia="宋体" w:cs="宋体"/>
                      <w:sz w:val="18"/>
                      <w:szCs w:val="18"/>
                    </w:rPr>
                  </w:pPr>
                </w:p>
              </w:tc>
              <w:tc>
                <w:tcPr>
                  <w:tcW w:w="981" w:type="dxa"/>
                  <w:vMerge w:val="continue"/>
                  <w:vAlign w:val="center"/>
                </w:tcPr>
                <w:p w14:paraId="511796C2">
                  <w:pPr>
                    <w:pStyle w:val="6"/>
                    <w:rPr>
                      <w:rFonts w:hAnsi="宋体" w:eastAsia="宋体" w:cs="宋体"/>
                      <w:sz w:val="18"/>
                      <w:szCs w:val="18"/>
                    </w:rPr>
                  </w:pPr>
                </w:p>
              </w:tc>
              <w:tc>
                <w:tcPr>
                  <w:tcW w:w="3174" w:type="dxa"/>
                  <w:vAlign w:val="center"/>
                </w:tcPr>
                <w:p w14:paraId="49A61E88">
                  <w:pPr>
                    <w:pStyle w:val="6"/>
                    <w:rPr>
                      <w:rFonts w:hAnsi="宋体" w:eastAsia="宋体" w:cs="宋体"/>
                      <w:sz w:val="18"/>
                      <w:szCs w:val="18"/>
                    </w:rPr>
                  </w:pPr>
                  <w:r>
                    <w:rPr>
                      <w:rFonts w:hint="eastAsia" w:hAnsi="宋体" w:eastAsia="宋体" w:cs="宋体"/>
                      <w:sz w:val="18"/>
                      <w:szCs w:val="18"/>
                    </w:rPr>
                    <w:t>各国分析现阶段处于产品周期哪一阶段</w:t>
                  </w:r>
                </w:p>
              </w:tc>
              <w:tc>
                <w:tcPr>
                  <w:tcW w:w="1189" w:type="dxa"/>
                  <w:vMerge w:val="continue"/>
                  <w:vAlign w:val="center"/>
                </w:tcPr>
                <w:p w14:paraId="380F7C64">
                  <w:pPr>
                    <w:pStyle w:val="6"/>
                    <w:jc w:val="center"/>
                    <w:rPr>
                      <w:rFonts w:hAnsi="宋体" w:eastAsia="宋体" w:cs="宋体"/>
                      <w:sz w:val="18"/>
                      <w:szCs w:val="18"/>
                    </w:rPr>
                  </w:pPr>
                </w:p>
              </w:tc>
            </w:tr>
            <w:tr w14:paraId="667C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02780D89">
                  <w:pPr>
                    <w:pStyle w:val="6"/>
                    <w:rPr>
                      <w:rFonts w:hAnsi="宋体" w:eastAsia="宋体" w:cs="宋体"/>
                      <w:sz w:val="18"/>
                      <w:szCs w:val="18"/>
                    </w:rPr>
                  </w:pPr>
                </w:p>
              </w:tc>
              <w:tc>
                <w:tcPr>
                  <w:tcW w:w="981" w:type="dxa"/>
                  <w:vMerge w:val="continue"/>
                  <w:vAlign w:val="center"/>
                </w:tcPr>
                <w:p w14:paraId="766FC43D">
                  <w:pPr>
                    <w:pStyle w:val="6"/>
                    <w:rPr>
                      <w:rFonts w:hAnsi="宋体" w:eastAsia="宋体" w:cs="宋体"/>
                      <w:sz w:val="18"/>
                      <w:szCs w:val="18"/>
                    </w:rPr>
                  </w:pPr>
                </w:p>
              </w:tc>
              <w:tc>
                <w:tcPr>
                  <w:tcW w:w="3174" w:type="dxa"/>
                  <w:vAlign w:val="center"/>
                </w:tcPr>
                <w:p w14:paraId="4A6C06C0">
                  <w:pPr>
                    <w:pStyle w:val="6"/>
                    <w:rPr>
                      <w:rFonts w:hAnsi="宋体" w:eastAsia="宋体" w:cs="宋体"/>
                      <w:bCs/>
                      <w:iCs/>
                      <w:spacing w:val="10"/>
                      <w:sz w:val="18"/>
                      <w:szCs w:val="18"/>
                    </w:rPr>
                  </w:pPr>
                  <w:r>
                    <w:rPr>
                      <w:rFonts w:hint="eastAsia" w:hAnsi="宋体" w:eastAsia="宋体" w:cs="宋体"/>
                      <w:sz w:val="18"/>
                      <w:szCs w:val="18"/>
                    </w:rPr>
                    <w:t>各国厂商根据需求结构变化进行高档产品订单竞标</w:t>
                  </w:r>
                </w:p>
              </w:tc>
              <w:tc>
                <w:tcPr>
                  <w:tcW w:w="1189" w:type="dxa"/>
                  <w:vMerge w:val="continue"/>
                  <w:vAlign w:val="center"/>
                </w:tcPr>
                <w:p w14:paraId="26CE0406">
                  <w:pPr>
                    <w:pStyle w:val="6"/>
                    <w:jc w:val="center"/>
                    <w:rPr>
                      <w:rFonts w:hAnsi="宋体" w:eastAsia="宋体" w:cs="宋体"/>
                      <w:sz w:val="18"/>
                      <w:szCs w:val="18"/>
                    </w:rPr>
                  </w:pPr>
                </w:p>
              </w:tc>
            </w:tr>
            <w:tr w14:paraId="035B0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3874305E">
                  <w:pPr>
                    <w:pStyle w:val="6"/>
                    <w:rPr>
                      <w:rFonts w:hAnsi="宋体" w:eastAsia="宋体" w:cs="宋体"/>
                      <w:sz w:val="18"/>
                      <w:szCs w:val="18"/>
                    </w:rPr>
                  </w:pPr>
                </w:p>
              </w:tc>
              <w:tc>
                <w:tcPr>
                  <w:tcW w:w="981" w:type="dxa"/>
                  <w:vMerge w:val="continue"/>
                  <w:vAlign w:val="center"/>
                </w:tcPr>
                <w:p w14:paraId="08B30857">
                  <w:pPr>
                    <w:pStyle w:val="6"/>
                    <w:rPr>
                      <w:rFonts w:hAnsi="宋体" w:eastAsia="宋体" w:cs="宋体"/>
                      <w:sz w:val="18"/>
                      <w:szCs w:val="18"/>
                    </w:rPr>
                  </w:pPr>
                </w:p>
              </w:tc>
              <w:tc>
                <w:tcPr>
                  <w:tcW w:w="3174" w:type="dxa"/>
                  <w:vAlign w:val="center"/>
                </w:tcPr>
                <w:p w14:paraId="4FB5B7B9">
                  <w:pPr>
                    <w:pStyle w:val="6"/>
                    <w:rPr>
                      <w:rFonts w:hAnsi="宋体" w:eastAsia="宋体" w:cs="宋体"/>
                      <w:bCs/>
                      <w:iCs/>
                      <w:spacing w:val="10"/>
                      <w:sz w:val="18"/>
                      <w:szCs w:val="18"/>
                    </w:rPr>
                  </w:pPr>
                  <w:r>
                    <w:rPr>
                      <w:rFonts w:hint="eastAsia" w:hAnsi="宋体" w:eastAsia="宋体" w:cs="宋体"/>
                      <w:bCs/>
                      <w:iCs/>
                      <w:spacing w:val="10"/>
                      <w:sz w:val="18"/>
                      <w:szCs w:val="18"/>
                    </w:rPr>
                    <w:t>各国厂商建设高档生产线，延长产品生命周期</w:t>
                  </w:r>
                </w:p>
              </w:tc>
              <w:tc>
                <w:tcPr>
                  <w:tcW w:w="1189" w:type="dxa"/>
                  <w:vMerge w:val="continue"/>
                  <w:vAlign w:val="center"/>
                </w:tcPr>
                <w:p w14:paraId="1FDDBBE7">
                  <w:pPr>
                    <w:pStyle w:val="6"/>
                    <w:jc w:val="center"/>
                    <w:rPr>
                      <w:rFonts w:hAnsi="宋体" w:eastAsia="宋体" w:cs="宋体"/>
                      <w:sz w:val="18"/>
                      <w:szCs w:val="18"/>
                    </w:rPr>
                  </w:pPr>
                </w:p>
              </w:tc>
            </w:tr>
            <w:tr w14:paraId="7DF7B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0DB36036">
                  <w:pPr>
                    <w:pStyle w:val="6"/>
                    <w:rPr>
                      <w:rFonts w:hAnsi="宋体" w:eastAsia="宋体" w:cs="宋体"/>
                      <w:sz w:val="18"/>
                      <w:szCs w:val="18"/>
                    </w:rPr>
                  </w:pPr>
                </w:p>
              </w:tc>
              <w:tc>
                <w:tcPr>
                  <w:tcW w:w="981" w:type="dxa"/>
                  <w:vMerge w:val="continue"/>
                  <w:vAlign w:val="center"/>
                </w:tcPr>
                <w:p w14:paraId="1628297E">
                  <w:pPr>
                    <w:pStyle w:val="6"/>
                    <w:rPr>
                      <w:rFonts w:hAnsi="宋体" w:eastAsia="宋体" w:cs="宋体"/>
                      <w:sz w:val="18"/>
                      <w:szCs w:val="18"/>
                    </w:rPr>
                  </w:pPr>
                </w:p>
              </w:tc>
              <w:tc>
                <w:tcPr>
                  <w:tcW w:w="3174" w:type="dxa"/>
                  <w:vAlign w:val="center"/>
                </w:tcPr>
                <w:p w14:paraId="4A92A9BC">
                  <w:pPr>
                    <w:pStyle w:val="6"/>
                    <w:rPr>
                      <w:rFonts w:hAnsi="宋体" w:eastAsia="宋体" w:cs="宋体"/>
                      <w:bCs/>
                      <w:iCs/>
                      <w:spacing w:val="10"/>
                      <w:sz w:val="18"/>
                      <w:szCs w:val="18"/>
                    </w:rPr>
                  </w:pPr>
                  <w:r>
                    <w:rPr>
                      <w:rFonts w:hint="eastAsia" w:hAnsi="宋体" w:eastAsia="宋体" w:cs="宋体"/>
                      <w:bCs/>
                      <w:iCs/>
                      <w:spacing w:val="10"/>
                      <w:sz w:val="18"/>
                      <w:szCs w:val="18"/>
                    </w:rPr>
                    <w:t>各国根据需求结构、技术变化调整国际贸易策略</w:t>
                  </w:r>
                </w:p>
              </w:tc>
              <w:tc>
                <w:tcPr>
                  <w:tcW w:w="1189" w:type="dxa"/>
                  <w:vMerge w:val="continue"/>
                  <w:vAlign w:val="center"/>
                </w:tcPr>
                <w:p w14:paraId="4D196FDE">
                  <w:pPr>
                    <w:pStyle w:val="6"/>
                    <w:jc w:val="center"/>
                    <w:rPr>
                      <w:rFonts w:hAnsi="宋体" w:eastAsia="宋体" w:cs="宋体"/>
                      <w:sz w:val="18"/>
                      <w:szCs w:val="18"/>
                    </w:rPr>
                  </w:pPr>
                </w:p>
              </w:tc>
            </w:tr>
            <w:tr w14:paraId="3A91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6AA413EA">
                  <w:pPr>
                    <w:pStyle w:val="6"/>
                    <w:rPr>
                      <w:rFonts w:hAnsi="宋体" w:eastAsia="宋体" w:cs="宋体"/>
                      <w:sz w:val="18"/>
                      <w:szCs w:val="18"/>
                    </w:rPr>
                  </w:pPr>
                </w:p>
              </w:tc>
              <w:tc>
                <w:tcPr>
                  <w:tcW w:w="981" w:type="dxa"/>
                  <w:vMerge w:val="restart"/>
                  <w:vAlign w:val="center"/>
                </w:tcPr>
                <w:p w14:paraId="69F8FD21">
                  <w:pPr>
                    <w:pStyle w:val="6"/>
                    <w:rPr>
                      <w:rFonts w:hAnsi="宋体" w:eastAsia="宋体" w:cs="宋体"/>
                      <w:sz w:val="18"/>
                      <w:szCs w:val="18"/>
                    </w:rPr>
                  </w:pPr>
                  <w:r>
                    <w:rPr>
                      <w:rFonts w:hint="eastAsia" w:hAnsi="宋体" w:eastAsia="宋体" w:cs="宋体"/>
                      <w:sz w:val="18"/>
                      <w:szCs w:val="18"/>
                    </w:rPr>
                    <w:t>实验总结</w:t>
                  </w:r>
                </w:p>
              </w:tc>
              <w:tc>
                <w:tcPr>
                  <w:tcW w:w="3174" w:type="dxa"/>
                  <w:vAlign w:val="center"/>
                </w:tcPr>
                <w:p w14:paraId="31AF6BF5">
                  <w:pPr>
                    <w:pStyle w:val="6"/>
                    <w:rPr>
                      <w:rFonts w:hAnsi="宋体" w:eastAsia="宋体" w:cs="宋体"/>
                      <w:bCs/>
                      <w:iCs/>
                      <w:spacing w:val="10"/>
                      <w:sz w:val="18"/>
                      <w:szCs w:val="18"/>
                    </w:rPr>
                  </w:pPr>
                  <w:r>
                    <w:rPr>
                      <w:rFonts w:hint="eastAsia" w:hAnsi="宋体" w:eastAsia="宋体" w:cs="宋体"/>
                      <w:bCs/>
                      <w:iCs/>
                      <w:spacing w:val="10"/>
                      <w:sz w:val="18"/>
                      <w:szCs w:val="18"/>
                    </w:rPr>
                    <w:t>总结两国之间的需求结构在国际经济中的表现</w:t>
                  </w:r>
                </w:p>
              </w:tc>
              <w:tc>
                <w:tcPr>
                  <w:tcW w:w="1189" w:type="dxa"/>
                  <w:vMerge w:val="continue"/>
                  <w:vAlign w:val="center"/>
                </w:tcPr>
                <w:p w14:paraId="6FFACFDC">
                  <w:pPr>
                    <w:pStyle w:val="6"/>
                    <w:jc w:val="center"/>
                    <w:rPr>
                      <w:rFonts w:hAnsi="宋体" w:eastAsia="宋体" w:cs="宋体"/>
                      <w:sz w:val="18"/>
                      <w:szCs w:val="18"/>
                    </w:rPr>
                  </w:pPr>
                </w:p>
              </w:tc>
            </w:tr>
            <w:tr w14:paraId="605C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3EC53872">
                  <w:pPr>
                    <w:pStyle w:val="6"/>
                    <w:rPr>
                      <w:rFonts w:hAnsi="宋体" w:eastAsia="宋体" w:cs="宋体"/>
                      <w:sz w:val="18"/>
                      <w:szCs w:val="18"/>
                    </w:rPr>
                  </w:pPr>
                </w:p>
              </w:tc>
              <w:tc>
                <w:tcPr>
                  <w:tcW w:w="981" w:type="dxa"/>
                  <w:vMerge w:val="continue"/>
                  <w:vAlign w:val="center"/>
                </w:tcPr>
                <w:p w14:paraId="6B2EE589">
                  <w:pPr>
                    <w:pStyle w:val="6"/>
                    <w:rPr>
                      <w:rFonts w:hAnsi="宋体" w:eastAsia="宋体" w:cs="宋体"/>
                      <w:sz w:val="18"/>
                      <w:szCs w:val="18"/>
                    </w:rPr>
                  </w:pPr>
                </w:p>
              </w:tc>
              <w:tc>
                <w:tcPr>
                  <w:tcW w:w="3174" w:type="dxa"/>
                  <w:vAlign w:val="center"/>
                </w:tcPr>
                <w:p w14:paraId="367787B7">
                  <w:pPr>
                    <w:pStyle w:val="6"/>
                    <w:rPr>
                      <w:rFonts w:hAnsi="宋体" w:eastAsia="宋体" w:cs="宋体"/>
                      <w:bCs/>
                      <w:iCs/>
                      <w:spacing w:val="10"/>
                      <w:sz w:val="18"/>
                      <w:szCs w:val="18"/>
                    </w:rPr>
                  </w:pPr>
                  <w:r>
                    <w:rPr>
                      <w:rFonts w:hint="eastAsia" w:hAnsi="宋体" w:eastAsia="宋体" w:cs="宋体"/>
                      <w:sz w:val="18"/>
                      <w:szCs w:val="18"/>
                    </w:rPr>
                    <w:t>总结各国厂商在产品周期各阶段的特征</w:t>
                  </w:r>
                </w:p>
              </w:tc>
              <w:tc>
                <w:tcPr>
                  <w:tcW w:w="1189" w:type="dxa"/>
                  <w:vMerge w:val="continue"/>
                  <w:vAlign w:val="center"/>
                </w:tcPr>
                <w:p w14:paraId="1D9E0F4B">
                  <w:pPr>
                    <w:pStyle w:val="6"/>
                    <w:jc w:val="center"/>
                    <w:rPr>
                      <w:rFonts w:hAnsi="宋体" w:eastAsia="宋体" w:cs="宋体"/>
                      <w:sz w:val="18"/>
                      <w:szCs w:val="18"/>
                    </w:rPr>
                  </w:pPr>
                </w:p>
              </w:tc>
            </w:tr>
            <w:tr w14:paraId="1306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5" w:type="dxa"/>
                  <w:vMerge w:val="continue"/>
                  <w:vAlign w:val="center"/>
                </w:tcPr>
                <w:p w14:paraId="512D7931">
                  <w:pPr>
                    <w:pStyle w:val="6"/>
                    <w:rPr>
                      <w:rFonts w:hAnsi="宋体" w:eastAsia="宋体" w:cs="宋体"/>
                      <w:sz w:val="18"/>
                      <w:szCs w:val="18"/>
                    </w:rPr>
                  </w:pPr>
                </w:p>
              </w:tc>
              <w:tc>
                <w:tcPr>
                  <w:tcW w:w="981" w:type="dxa"/>
                  <w:vMerge w:val="continue"/>
                  <w:vAlign w:val="center"/>
                </w:tcPr>
                <w:p w14:paraId="3A138A2E">
                  <w:pPr>
                    <w:pStyle w:val="6"/>
                    <w:rPr>
                      <w:rFonts w:hAnsi="宋体" w:eastAsia="宋体" w:cs="宋体"/>
                      <w:sz w:val="18"/>
                      <w:szCs w:val="18"/>
                    </w:rPr>
                  </w:pPr>
                </w:p>
              </w:tc>
              <w:tc>
                <w:tcPr>
                  <w:tcW w:w="3174" w:type="dxa"/>
                  <w:vAlign w:val="center"/>
                </w:tcPr>
                <w:p w14:paraId="2AC191D0">
                  <w:pPr>
                    <w:pStyle w:val="6"/>
                    <w:rPr>
                      <w:rFonts w:hAnsi="宋体" w:eastAsia="宋体" w:cs="宋体"/>
                      <w:bCs/>
                      <w:iCs/>
                      <w:spacing w:val="10"/>
                      <w:sz w:val="18"/>
                      <w:szCs w:val="18"/>
                    </w:rPr>
                  </w:pPr>
                  <w:r>
                    <w:rPr>
                      <w:rFonts w:hint="eastAsia" w:hAnsi="宋体" w:eastAsia="宋体" w:cs="宋体"/>
                      <w:bCs/>
                      <w:iCs/>
                      <w:spacing w:val="10"/>
                      <w:sz w:val="18"/>
                      <w:szCs w:val="18"/>
                    </w:rPr>
                    <w:t>总结如何在国际贸易中运用技术创新策略</w:t>
                  </w:r>
                </w:p>
              </w:tc>
              <w:tc>
                <w:tcPr>
                  <w:tcW w:w="1189" w:type="dxa"/>
                  <w:vMerge w:val="continue"/>
                  <w:vAlign w:val="center"/>
                </w:tcPr>
                <w:p w14:paraId="67E94187">
                  <w:pPr>
                    <w:pStyle w:val="6"/>
                    <w:jc w:val="center"/>
                    <w:rPr>
                      <w:rFonts w:hAnsi="宋体" w:eastAsia="宋体" w:cs="宋体"/>
                      <w:sz w:val="18"/>
                      <w:szCs w:val="18"/>
                    </w:rPr>
                  </w:pPr>
                </w:p>
              </w:tc>
            </w:tr>
          </w:tbl>
          <w:p w14:paraId="56F0320A">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25719960">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各国分析在开放经济中需求结构的情况</w:t>
            </w:r>
          </w:p>
          <w:p w14:paraId="5F443698">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各国厂商制定今年的国际贸易策略</w:t>
            </w:r>
          </w:p>
          <w:p w14:paraId="1D926009">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各国根据需求结构变化进行订单竞标</w:t>
            </w:r>
          </w:p>
          <w:p w14:paraId="0537F56C">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各国判断产品周期阶段，并判断是否通过建设高档生产线实现技术创新</w:t>
            </w:r>
          </w:p>
          <w:p w14:paraId="5631D7D3">
            <w:pPr>
              <w:ind w:firstLine="527" w:firstLineChars="250"/>
              <w:rPr>
                <w:rFonts w:ascii="宋体" w:hAnsi="宋体" w:eastAsia="宋体" w:cs="宋体"/>
                <w:b/>
                <w:szCs w:val="21"/>
              </w:rPr>
            </w:pPr>
            <w:r>
              <w:rPr>
                <w:rFonts w:hint="eastAsia" w:ascii="宋体" w:hAnsi="宋体" w:eastAsia="宋体" w:cs="宋体"/>
                <w:b/>
                <w:szCs w:val="21"/>
              </w:rPr>
              <w:t>2）实验成果</w:t>
            </w:r>
          </w:p>
          <w:p w14:paraId="743B5B5E">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国际经济中产品周期各阶段及对策研究</w:t>
            </w:r>
          </w:p>
          <w:p w14:paraId="63FC21AF">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国家间不同需求结构情况下的国际贸易策略分析</w:t>
            </w:r>
          </w:p>
          <w:p w14:paraId="215B56F0">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分析在国际之间的科技战的原因</w:t>
            </w:r>
          </w:p>
          <w:p w14:paraId="5C4912D2">
            <w:pPr>
              <w:numPr>
                <w:ilvl w:val="3"/>
                <w:numId w:val="8"/>
              </w:numPr>
              <w:rPr>
                <w:rFonts w:ascii="宋体" w:hAnsi="宋体" w:eastAsia="宋体" w:cs="宋体"/>
                <w:b/>
                <w:color w:val="000000"/>
                <w:kern w:val="0"/>
                <w:szCs w:val="21"/>
              </w:rPr>
            </w:pPr>
            <w:bookmarkStart w:id="5" w:name="_Toc15044"/>
            <w:r>
              <w:rPr>
                <w:rFonts w:hint="eastAsia" w:ascii="宋体" w:hAnsi="宋体" w:eastAsia="宋体" w:cs="宋体"/>
                <w:b/>
                <w:color w:val="000000"/>
                <w:kern w:val="0"/>
                <w:szCs w:val="21"/>
              </w:rPr>
              <w:t>规模经济、不完全竞争与国际贸易实验</w:t>
            </w:r>
            <w:bookmarkEnd w:id="5"/>
          </w:p>
          <w:p w14:paraId="52535F04">
            <w:pPr>
              <w:pStyle w:val="6"/>
              <w:jc w:val="center"/>
              <w:rPr>
                <w:rFonts w:hAnsi="宋体" w:eastAsia="宋体" w:cs="宋体"/>
              </w:rPr>
            </w:pPr>
            <w:r>
              <w:rPr>
                <w:rFonts w:hint="eastAsia" w:hAnsi="宋体" w:eastAsia="宋体" w:cs="宋体"/>
              </w:rPr>
              <w:t>表4  规模经济、不完全竞争与国际贸易实验项目</w:t>
            </w:r>
          </w:p>
          <w:tbl>
            <w:tblPr>
              <w:tblStyle w:val="12"/>
              <w:tblW w:w="6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986"/>
              <w:gridCol w:w="3337"/>
              <w:gridCol w:w="1146"/>
            </w:tblGrid>
            <w:tr w14:paraId="4328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jc w:val="center"/>
              </w:trPr>
              <w:tc>
                <w:tcPr>
                  <w:tcW w:w="890" w:type="dxa"/>
                  <w:shd w:val="clear" w:color="auto" w:fill="E6E6E6"/>
                  <w:vAlign w:val="center"/>
                </w:tcPr>
                <w:p w14:paraId="599DE942">
                  <w:pPr>
                    <w:pStyle w:val="6"/>
                    <w:jc w:val="center"/>
                    <w:rPr>
                      <w:rFonts w:hAnsi="宋体" w:eastAsia="宋体" w:cs="宋体"/>
                      <w:sz w:val="18"/>
                      <w:szCs w:val="18"/>
                    </w:rPr>
                  </w:pPr>
                  <w:r>
                    <w:rPr>
                      <w:rFonts w:hint="eastAsia" w:hAnsi="宋体" w:eastAsia="宋体" w:cs="宋体"/>
                      <w:sz w:val="18"/>
                      <w:szCs w:val="18"/>
                    </w:rPr>
                    <w:t>一级模块</w:t>
                  </w:r>
                </w:p>
              </w:tc>
              <w:tc>
                <w:tcPr>
                  <w:tcW w:w="986" w:type="dxa"/>
                  <w:shd w:val="clear" w:color="auto" w:fill="E6E6E6"/>
                  <w:vAlign w:val="center"/>
                </w:tcPr>
                <w:p w14:paraId="08529662">
                  <w:pPr>
                    <w:pStyle w:val="6"/>
                    <w:jc w:val="center"/>
                    <w:rPr>
                      <w:rFonts w:hAnsi="宋体" w:eastAsia="宋体" w:cs="宋体"/>
                      <w:sz w:val="18"/>
                      <w:szCs w:val="18"/>
                    </w:rPr>
                  </w:pPr>
                  <w:r>
                    <w:rPr>
                      <w:rFonts w:hint="eastAsia" w:hAnsi="宋体" w:eastAsia="宋体" w:cs="宋体"/>
                      <w:sz w:val="18"/>
                      <w:szCs w:val="18"/>
                    </w:rPr>
                    <w:t>二级模块</w:t>
                  </w:r>
                </w:p>
              </w:tc>
              <w:tc>
                <w:tcPr>
                  <w:tcW w:w="3337" w:type="dxa"/>
                  <w:shd w:val="clear" w:color="auto" w:fill="E6E6E6"/>
                  <w:vAlign w:val="center"/>
                </w:tcPr>
                <w:p w14:paraId="0B4425F1">
                  <w:pPr>
                    <w:pStyle w:val="6"/>
                    <w:jc w:val="center"/>
                    <w:rPr>
                      <w:rFonts w:hAnsi="宋体" w:eastAsia="宋体" w:cs="宋体"/>
                      <w:sz w:val="18"/>
                      <w:szCs w:val="18"/>
                    </w:rPr>
                  </w:pPr>
                  <w:r>
                    <w:rPr>
                      <w:rFonts w:hint="eastAsia" w:hAnsi="宋体" w:eastAsia="宋体" w:cs="宋体"/>
                      <w:sz w:val="18"/>
                      <w:szCs w:val="18"/>
                    </w:rPr>
                    <w:t>实验项目名称</w:t>
                  </w:r>
                </w:p>
              </w:tc>
              <w:tc>
                <w:tcPr>
                  <w:tcW w:w="1146" w:type="dxa"/>
                  <w:shd w:val="clear" w:color="auto" w:fill="E6E6E6"/>
                  <w:vAlign w:val="center"/>
                </w:tcPr>
                <w:p w14:paraId="37DB8CA7">
                  <w:pPr>
                    <w:pStyle w:val="6"/>
                    <w:jc w:val="center"/>
                    <w:rPr>
                      <w:rFonts w:hAnsi="宋体" w:eastAsia="宋体" w:cs="宋体"/>
                      <w:sz w:val="18"/>
                      <w:szCs w:val="18"/>
                    </w:rPr>
                  </w:pPr>
                  <w:r>
                    <w:rPr>
                      <w:rFonts w:hint="eastAsia" w:hAnsi="宋体" w:eastAsia="宋体" w:cs="宋体"/>
                      <w:sz w:val="18"/>
                      <w:szCs w:val="18"/>
                    </w:rPr>
                    <w:t>涉及知识点</w:t>
                  </w:r>
                </w:p>
              </w:tc>
            </w:tr>
            <w:tr w14:paraId="044E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90" w:type="dxa"/>
                  <w:vMerge w:val="restart"/>
                  <w:vAlign w:val="center"/>
                </w:tcPr>
                <w:p w14:paraId="67D6A6D8">
                  <w:pPr>
                    <w:pStyle w:val="6"/>
                    <w:rPr>
                      <w:rFonts w:hAnsi="宋体" w:eastAsia="宋体" w:cs="宋体"/>
                      <w:sz w:val="18"/>
                      <w:szCs w:val="18"/>
                    </w:rPr>
                  </w:pPr>
                  <w:r>
                    <w:rPr>
                      <w:rFonts w:hint="eastAsia" w:hAnsi="宋体" w:eastAsia="宋体" w:cs="宋体"/>
                      <w:sz w:val="18"/>
                      <w:szCs w:val="18"/>
                    </w:rPr>
                    <w:t>规模经济、不完全竞争与国际贸易实验项目</w:t>
                  </w:r>
                </w:p>
              </w:tc>
              <w:tc>
                <w:tcPr>
                  <w:tcW w:w="986" w:type="dxa"/>
                  <w:vAlign w:val="center"/>
                </w:tcPr>
                <w:p w14:paraId="3B507ADB">
                  <w:pPr>
                    <w:pStyle w:val="6"/>
                    <w:rPr>
                      <w:rFonts w:hAnsi="宋体" w:eastAsia="宋体" w:cs="宋体"/>
                      <w:sz w:val="18"/>
                      <w:szCs w:val="18"/>
                    </w:rPr>
                  </w:pPr>
                  <w:r>
                    <w:rPr>
                      <w:rFonts w:hint="eastAsia" w:hAnsi="宋体" w:eastAsia="宋体" w:cs="宋体"/>
                      <w:sz w:val="18"/>
                      <w:szCs w:val="18"/>
                    </w:rPr>
                    <w:t>导入培训</w:t>
                  </w:r>
                </w:p>
              </w:tc>
              <w:tc>
                <w:tcPr>
                  <w:tcW w:w="3337" w:type="dxa"/>
                  <w:vAlign w:val="center"/>
                </w:tcPr>
                <w:p w14:paraId="6A32BE9F">
                  <w:pPr>
                    <w:pStyle w:val="6"/>
                    <w:rPr>
                      <w:rFonts w:hAnsi="宋体" w:eastAsia="宋体" w:cs="宋体"/>
                      <w:bCs/>
                      <w:iCs/>
                      <w:spacing w:val="10"/>
                      <w:sz w:val="18"/>
                      <w:szCs w:val="18"/>
                    </w:rPr>
                  </w:pPr>
                  <w:r>
                    <w:rPr>
                      <w:rFonts w:hint="eastAsia" w:hAnsi="宋体" w:eastAsia="宋体" w:cs="宋体"/>
                      <w:sz w:val="18"/>
                      <w:szCs w:val="18"/>
                    </w:rPr>
                    <w:t>开放条件下不完全竞争市场的均衡</w:t>
                  </w:r>
                </w:p>
              </w:tc>
              <w:tc>
                <w:tcPr>
                  <w:tcW w:w="1146" w:type="dxa"/>
                  <w:vMerge w:val="restart"/>
                  <w:vAlign w:val="center"/>
                </w:tcPr>
                <w:p w14:paraId="55B8F1EC">
                  <w:pPr>
                    <w:pStyle w:val="6"/>
                    <w:rPr>
                      <w:rFonts w:hAnsi="宋体" w:eastAsia="宋体" w:cs="宋体"/>
                      <w:sz w:val="18"/>
                      <w:szCs w:val="18"/>
                    </w:rPr>
                  </w:pPr>
                </w:p>
                <w:p w14:paraId="564709ED">
                  <w:pPr>
                    <w:pStyle w:val="6"/>
                    <w:jc w:val="center"/>
                    <w:rPr>
                      <w:rFonts w:hAnsi="宋体" w:eastAsia="宋体" w:cs="宋体"/>
                      <w:sz w:val="18"/>
                      <w:szCs w:val="18"/>
                    </w:rPr>
                  </w:pPr>
                  <w:r>
                    <w:rPr>
                      <w:rFonts w:hint="eastAsia" w:hAnsi="宋体" w:eastAsia="宋体" w:cs="宋体"/>
                      <w:sz w:val="18"/>
                      <w:szCs w:val="18"/>
                    </w:rPr>
                    <w:t>外在规模经济</w:t>
                  </w:r>
                </w:p>
                <w:p w14:paraId="5726D748">
                  <w:pPr>
                    <w:pStyle w:val="6"/>
                    <w:jc w:val="center"/>
                    <w:rPr>
                      <w:rFonts w:hAnsi="宋体" w:eastAsia="宋体" w:cs="宋体"/>
                      <w:sz w:val="18"/>
                      <w:szCs w:val="18"/>
                    </w:rPr>
                  </w:pPr>
                  <w:r>
                    <w:rPr>
                      <w:rFonts w:hint="eastAsia" w:hAnsi="宋体" w:eastAsia="宋体" w:cs="宋体"/>
                      <w:sz w:val="18"/>
                      <w:szCs w:val="18"/>
                    </w:rPr>
                    <w:t>“干中学”效应</w:t>
                  </w:r>
                </w:p>
                <w:p w14:paraId="27709BD0">
                  <w:pPr>
                    <w:pStyle w:val="6"/>
                    <w:jc w:val="center"/>
                    <w:rPr>
                      <w:rFonts w:hAnsi="宋体" w:eastAsia="宋体" w:cs="宋体"/>
                      <w:sz w:val="18"/>
                      <w:szCs w:val="18"/>
                    </w:rPr>
                  </w:pPr>
                  <w:r>
                    <w:rPr>
                      <w:rFonts w:hint="eastAsia" w:hAnsi="宋体" w:eastAsia="宋体" w:cs="宋体"/>
                      <w:sz w:val="18"/>
                      <w:szCs w:val="18"/>
                    </w:rPr>
                    <w:t>同质产品产业内贸易</w:t>
                  </w:r>
                </w:p>
                <w:p w14:paraId="2E52D31B">
                  <w:pPr>
                    <w:pStyle w:val="6"/>
                    <w:jc w:val="center"/>
                    <w:rPr>
                      <w:rFonts w:hAnsi="宋体" w:eastAsia="宋体" w:cs="宋体"/>
                      <w:sz w:val="18"/>
                      <w:szCs w:val="18"/>
                    </w:rPr>
                  </w:pPr>
                  <w:r>
                    <w:rPr>
                      <w:rFonts w:hint="eastAsia" w:hAnsi="宋体" w:eastAsia="宋体" w:cs="宋体"/>
                      <w:sz w:val="18"/>
                      <w:szCs w:val="18"/>
                    </w:rPr>
                    <w:t>差异产品产业内贸易</w:t>
                  </w:r>
                </w:p>
              </w:tc>
            </w:tr>
            <w:tr w14:paraId="10DE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90" w:type="dxa"/>
                  <w:vMerge w:val="continue"/>
                  <w:vAlign w:val="center"/>
                </w:tcPr>
                <w:p w14:paraId="35526FEE">
                  <w:pPr>
                    <w:pStyle w:val="6"/>
                    <w:rPr>
                      <w:rFonts w:hAnsi="宋体" w:eastAsia="宋体" w:cs="宋体"/>
                      <w:sz w:val="18"/>
                      <w:szCs w:val="18"/>
                    </w:rPr>
                  </w:pPr>
                </w:p>
              </w:tc>
              <w:tc>
                <w:tcPr>
                  <w:tcW w:w="986" w:type="dxa"/>
                  <w:vMerge w:val="restart"/>
                  <w:vAlign w:val="center"/>
                </w:tcPr>
                <w:p w14:paraId="41ECD243">
                  <w:pPr>
                    <w:pStyle w:val="6"/>
                    <w:rPr>
                      <w:rFonts w:hAnsi="宋体" w:eastAsia="宋体" w:cs="宋体"/>
                      <w:sz w:val="18"/>
                      <w:szCs w:val="18"/>
                    </w:rPr>
                  </w:pPr>
                  <w:r>
                    <w:rPr>
                      <w:rFonts w:hint="eastAsia" w:hAnsi="宋体" w:eastAsia="宋体" w:cs="宋体"/>
                      <w:sz w:val="18"/>
                      <w:szCs w:val="18"/>
                    </w:rPr>
                    <w:t>实验准备</w:t>
                  </w:r>
                </w:p>
              </w:tc>
              <w:tc>
                <w:tcPr>
                  <w:tcW w:w="3337" w:type="dxa"/>
                  <w:vAlign w:val="center"/>
                </w:tcPr>
                <w:p w14:paraId="05591E95">
                  <w:pPr>
                    <w:pStyle w:val="6"/>
                    <w:tabs>
                      <w:tab w:val="left" w:pos="3091"/>
                    </w:tabs>
                    <w:rPr>
                      <w:rFonts w:hAnsi="宋体" w:eastAsia="宋体" w:cs="宋体"/>
                      <w:bCs/>
                      <w:iCs/>
                      <w:spacing w:val="10"/>
                      <w:sz w:val="18"/>
                      <w:szCs w:val="18"/>
                    </w:rPr>
                  </w:pPr>
                  <w:r>
                    <w:rPr>
                      <w:rFonts w:hint="eastAsia" w:hAnsi="宋体" w:eastAsia="宋体" w:cs="宋体"/>
                      <w:sz w:val="18"/>
                      <w:szCs w:val="18"/>
                    </w:rPr>
                    <w:t>熟悉外在规模经济对国际贸易的影响</w:t>
                  </w:r>
                  <w:r>
                    <w:rPr>
                      <w:rFonts w:hint="eastAsia" w:hAnsi="宋体" w:eastAsia="宋体" w:cs="宋体"/>
                      <w:sz w:val="18"/>
                      <w:szCs w:val="18"/>
                    </w:rPr>
                    <w:tab/>
                  </w:r>
                </w:p>
              </w:tc>
              <w:tc>
                <w:tcPr>
                  <w:tcW w:w="1146" w:type="dxa"/>
                  <w:vMerge w:val="continue"/>
                  <w:vAlign w:val="center"/>
                </w:tcPr>
                <w:p w14:paraId="098A9961">
                  <w:pPr>
                    <w:pStyle w:val="6"/>
                    <w:jc w:val="center"/>
                    <w:rPr>
                      <w:rFonts w:hAnsi="宋体" w:eastAsia="宋体" w:cs="宋体"/>
                      <w:sz w:val="18"/>
                      <w:szCs w:val="18"/>
                    </w:rPr>
                  </w:pPr>
                </w:p>
              </w:tc>
            </w:tr>
            <w:tr w14:paraId="16C9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90" w:type="dxa"/>
                  <w:vMerge w:val="continue"/>
                  <w:vAlign w:val="center"/>
                </w:tcPr>
                <w:p w14:paraId="0176D590">
                  <w:pPr>
                    <w:pStyle w:val="6"/>
                    <w:rPr>
                      <w:rFonts w:hAnsi="宋体" w:eastAsia="宋体" w:cs="宋体"/>
                      <w:sz w:val="18"/>
                      <w:szCs w:val="18"/>
                    </w:rPr>
                  </w:pPr>
                </w:p>
              </w:tc>
              <w:tc>
                <w:tcPr>
                  <w:tcW w:w="986" w:type="dxa"/>
                  <w:vMerge w:val="continue"/>
                  <w:vAlign w:val="center"/>
                </w:tcPr>
                <w:p w14:paraId="392ACFC2">
                  <w:pPr>
                    <w:pStyle w:val="6"/>
                    <w:rPr>
                      <w:rFonts w:hAnsi="宋体" w:eastAsia="宋体" w:cs="宋体"/>
                      <w:sz w:val="18"/>
                      <w:szCs w:val="18"/>
                    </w:rPr>
                  </w:pPr>
                </w:p>
              </w:tc>
              <w:tc>
                <w:tcPr>
                  <w:tcW w:w="3337" w:type="dxa"/>
                  <w:vAlign w:val="center"/>
                </w:tcPr>
                <w:p w14:paraId="50715F0E">
                  <w:pPr>
                    <w:pStyle w:val="6"/>
                    <w:rPr>
                      <w:rFonts w:hAnsi="宋体" w:eastAsia="宋体" w:cs="宋体"/>
                      <w:bCs/>
                      <w:iCs/>
                      <w:spacing w:val="10"/>
                      <w:sz w:val="18"/>
                      <w:szCs w:val="18"/>
                    </w:rPr>
                  </w:pPr>
                  <w:r>
                    <w:rPr>
                      <w:rFonts w:hint="eastAsia" w:hAnsi="宋体" w:eastAsia="宋体" w:cs="宋体"/>
                      <w:sz w:val="18"/>
                      <w:szCs w:val="18"/>
                    </w:rPr>
                    <w:t>系统中不完全竞争市场结构如何体现</w:t>
                  </w:r>
                </w:p>
              </w:tc>
              <w:tc>
                <w:tcPr>
                  <w:tcW w:w="1146" w:type="dxa"/>
                  <w:vMerge w:val="continue"/>
                  <w:vAlign w:val="center"/>
                </w:tcPr>
                <w:p w14:paraId="4C4E98FB">
                  <w:pPr>
                    <w:pStyle w:val="6"/>
                    <w:jc w:val="center"/>
                    <w:rPr>
                      <w:rFonts w:hAnsi="宋体" w:eastAsia="宋体" w:cs="宋体"/>
                      <w:sz w:val="18"/>
                      <w:szCs w:val="18"/>
                    </w:rPr>
                  </w:pPr>
                </w:p>
              </w:tc>
            </w:tr>
            <w:tr w14:paraId="1BA6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90" w:type="dxa"/>
                  <w:vMerge w:val="continue"/>
                  <w:vAlign w:val="center"/>
                </w:tcPr>
                <w:p w14:paraId="608E8A57">
                  <w:pPr>
                    <w:pStyle w:val="6"/>
                    <w:rPr>
                      <w:rFonts w:hAnsi="宋体" w:eastAsia="宋体" w:cs="宋体"/>
                      <w:sz w:val="18"/>
                      <w:szCs w:val="18"/>
                    </w:rPr>
                  </w:pPr>
                </w:p>
              </w:tc>
              <w:tc>
                <w:tcPr>
                  <w:tcW w:w="986" w:type="dxa"/>
                  <w:vMerge w:val="continue"/>
                  <w:vAlign w:val="center"/>
                </w:tcPr>
                <w:p w14:paraId="4729EF72">
                  <w:pPr>
                    <w:pStyle w:val="6"/>
                    <w:rPr>
                      <w:rFonts w:hAnsi="宋体" w:eastAsia="宋体" w:cs="宋体"/>
                      <w:sz w:val="18"/>
                      <w:szCs w:val="18"/>
                    </w:rPr>
                  </w:pPr>
                </w:p>
              </w:tc>
              <w:tc>
                <w:tcPr>
                  <w:tcW w:w="3337" w:type="dxa"/>
                  <w:vAlign w:val="center"/>
                </w:tcPr>
                <w:p w14:paraId="0E93B6AF">
                  <w:pPr>
                    <w:pStyle w:val="6"/>
                    <w:rPr>
                      <w:rFonts w:hAnsi="宋体" w:eastAsia="宋体" w:cs="宋体"/>
                      <w:bCs/>
                      <w:iCs/>
                      <w:spacing w:val="10"/>
                      <w:sz w:val="18"/>
                      <w:szCs w:val="18"/>
                    </w:rPr>
                  </w:pPr>
                  <w:r>
                    <w:rPr>
                      <w:rFonts w:hint="eastAsia" w:hAnsi="宋体" w:eastAsia="宋体" w:cs="宋体"/>
                      <w:sz w:val="18"/>
                      <w:szCs w:val="18"/>
                    </w:rPr>
                    <w:t>熟悉不完全竞争市场结构在国际贸易中的策略</w:t>
                  </w:r>
                </w:p>
              </w:tc>
              <w:tc>
                <w:tcPr>
                  <w:tcW w:w="1146" w:type="dxa"/>
                  <w:vMerge w:val="continue"/>
                  <w:vAlign w:val="center"/>
                </w:tcPr>
                <w:p w14:paraId="79AC7DDF">
                  <w:pPr>
                    <w:pStyle w:val="6"/>
                    <w:jc w:val="center"/>
                    <w:rPr>
                      <w:rFonts w:hAnsi="宋体" w:eastAsia="宋体" w:cs="宋体"/>
                      <w:sz w:val="18"/>
                      <w:szCs w:val="18"/>
                    </w:rPr>
                  </w:pPr>
                </w:p>
              </w:tc>
            </w:tr>
            <w:tr w14:paraId="2E13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90" w:type="dxa"/>
                  <w:vMerge w:val="continue"/>
                  <w:vAlign w:val="center"/>
                </w:tcPr>
                <w:p w14:paraId="37155C9A">
                  <w:pPr>
                    <w:pStyle w:val="6"/>
                    <w:rPr>
                      <w:rFonts w:hAnsi="宋体" w:eastAsia="宋体" w:cs="宋体"/>
                      <w:sz w:val="18"/>
                      <w:szCs w:val="18"/>
                    </w:rPr>
                  </w:pPr>
                </w:p>
              </w:tc>
              <w:tc>
                <w:tcPr>
                  <w:tcW w:w="986" w:type="dxa"/>
                  <w:vMerge w:val="restart"/>
                  <w:vAlign w:val="center"/>
                </w:tcPr>
                <w:p w14:paraId="339CE43E">
                  <w:pPr>
                    <w:pStyle w:val="6"/>
                    <w:rPr>
                      <w:rFonts w:hAnsi="宋体" w:eastAsia="宋体" w:cs="宋体"/>
                      <w:sz w:val="18"/>
                      <w:szCs w:val="18"/>
                    </w:rPr>
                  </w:pPr>
                  <w:r>
                    <w:rPr>
                      <w:rFonts w:hint="eastAsia" w:hAnsi="宋体" w:eastAsia="宋体" w:cs="宋体"/>
                      <w:sz w:val="18"/>
                      <w:szCs w:val="18"/>
                    </w:rPr>
                    <w:t>实验实施</w:t>
                  </w:r>
                </w:p>
              </w:tc>
              <w:tc>
                <w:tcPr>
                  <w:tcW w:w="3337" w:type="dxa"/>
                </w:tcPr>
                <w:p w14:paraId="7B3A6CC3">
                  <w:pPr>
                    <w:rPr>
                      <w:rFonts w:ascii="宋体" w:hAnsi="宋体" w:eastAsia="宋体" w:cs="宋体"/>
                      <w:sz w:val="18"/>
                      <w:szCs w:val="18"/>
                    </w:rPr>
                  </w:pPr>
                  <w:r>
                    <w:rPr>
                      <w:rFonts w:hint="eastAsia" w:ascii="宋体" w:hAnsi="宋体" w:eastAsia="宋体" w:cs="宋体"/>
                      <w:sz w:val="18"/>
                      <w:szCs w:val="18"/>
                    </w:rPr>
                    <w:t>各国对汽车、钢铁厂商市场竞争结构分析</w:t>
                  </w:r>
                </w:p>
              </w:tc>
              <w:tc>
                <w:tcPr>
                  <w:tcW w:w="1146" w:type="dxa"/>
                  <w:vMerge w:val="continue"/>
                  <w:vAlign w:val="center"/>
                </w:tcPr>
                <w:p w14:paraId="624D09D4">
                  <w:pPr>
                    <w:pStyle w:val="6"/>
                    <w:jc w:val="center"/>
                    <w:rPr>
                      <w:rFonts w:hAnsi="宋体" w:eastAsia="宋体" w:cs="宋体"/>
                      <w:sz w:val="18"/>
                      <w:szCs w:val="18"/>
                    </w:rPr>
                  </w:pPr>
                </w:p>
              </w:tc>
            </w:tr>
            <w:tr w14:paraId="2049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90" w:type="dxa"/>
                  <w:vMerge w:val="continue"/>
                  <w:vAlign w:val="center"/>
                </w:tcPr>
                <w:p w14:paraId="3C28E390">
                  <w:pPr>
                    <w:pStyle w:val="6"/>
                    <w:rPr>
                      <w:rFonts w:hAnsi="宋体" w:eastAsia="宋体" w:cs="宋体"/>
                      <w:sz w:val="18"/>
                      <w:szCs w:val="18"/>
                    </w:rPr>
                  </w:pPr>
                </w:p>
              </w:tc>
              <w:tc>
                <w:tcPr>
                  <w:tcW w:w="986" w:type="dxa"/>
                  <w:vMerge w:val="continue"/>
                  <w:vAlign w:val="center"/>
                </w:tcPr>
                <w:p w14:paraId="179B4883">
                  <w:pPr>
                    <w:pStyle w:val="6"/>
                    <w:rPr>
                      <w:rFonts w:hAnsi="宋体" w:eastAsia="宋体" w:cs="宋体"/>
                      <w:sz w:val="18"/>
                      <w:szCs w:val="18"/>
                    </w:rPr>
                  </w:pPr>
                </w:p>
              </w:tc>
              <w:tc>
                <w:tcPr>
                  <w:tcW w:w="3337" w:type="dxa"/>
                </w:tcPr>
                <w:p w14:paraId="1090D3C9">
                  <w:pPr>
                    <w:rPr>
                      <w:rFonts w:ascii="宋体" w:hAnsi="宋体" w:eastAsia="宋体" w:cs="宋体"/>
                      <w:sz w:val="18"/>
                      <w:szCs w:val="18"/>
                    </w:rPr>
                  </w:pPr>
                  <w:r>
                    <w:rPr>
                      <w:rFonts w:hint="eastAsia" w:ascii="宋体" w:hAnsi="宋体" w:eastAsia="宋体" w:cs="宋体"/>
                      <w:sz w:val="18"/>
                      <w:szCs w:val="18"/>
                    </w:rPr>
                    <w:t>不同市场竞争结构的厂商判断其均衡条件</w:t>
                  </w:r>
                </w:p>
              </w:tc>
              <w:tc>
                <w:tcPr>
                  <w:tcW w:w="1146" w:type="dxa"/>
                  <w:vMerge w:val="continue"/>
                  <w:vAlign w:val="center"/>
                </w:tcPr>
                <w:p w14:paraId="0672FBD7">
                  <w:pPr>
                    <w:pStyle w:val="6"/>
                    <w:jc w:val="center"/>
                    <w:rPr>
                      <w:rFonts w:hAnsi="宋体" w:eastAsia="宋体" w:cs="宋体"/>
                      <w:sz w:val="18"/>
                      <w:szCs w:val="18"/>
                    </w:rPr>
                  </w:pPr>
                </w:p>
              </w:tc>
            </w:tr>
            <w:tr w14:paraId="496D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90" w:type="dxa"/>
                  <w:vMerge w:val="continue"/>
                  <w:vAlign w:val="center"/>
                </w:tcPr>
                <w:p w14:paraId="0064759F">
                  <w:pPr>
                    <w:pStyle w:val="6"/>
                    <w:rPr>
                      <w:rFonts w:hAnsi="宋体" w:eastAsia="宋体" w:cs="宋体"/>
                      <w:sz w:val="18"/>
                      <w:szCs w:val="18"/>
                    </w:rPr>
                  </w:pPr>
                </w:p>
              </w:tc>
              <w:tc>
                <w:tcPr>
                  <w:tcW w:w="986" w:type="dxa"/>
                  <w:vMerge w:val="continue"/>
                  <w:vAlign w:val="center"/>
                </w:tcPr>
                <w:p w14:paraId="0D89E141">
                  <w:pPr>
                    <w:pStyle w:val="6"/>
                    <w:rPr>
                      <w:rFonts w:hAnsi="宋体" w:eastAsia="宋体" w:cs="宋体"/>
                      <w:sz w:val="18"/>
                      <w:szCs w:val="18"/>
                    </w:rPr>
                  </w:pPr>
                </w:p>
              </w:tc>
              <w:tc>
                <w:tcPr>
                  <w:tcW w:w="3337" w:type="dxa"/>
                </w:tcPr>
                <w:p w14:paraId="21C19D67">
                  <w:pPr>
                    <w:rPr>
                      <w:rFonts w:ascii="宋体" w:hAnsi="宋体" w:eastAsia="宋体" w:cs="宋体"/>
                      <w:sz w:val="18"/>
                      <w:szCs w:val="18"/>
                    </w:rPr>
                  </w:pPr>
                  <w:r>
                    <w:rPr>
                      <w:rFonts w:hint="eastAsia" w:ascii="宋体" w:hAnsi="宋体" w:eastAsia="宋体" w:cs="宋体"/>
                      <w:sz w:val="18"/>
                      <w:szCs w:val="18"/>
                    </w:rPr>
                    <w:t>寡头垄断厂商根据市场结构均衡条件判断是否进行同质产品产业内贸易</w:t>
                  </w:r>
                </w:p>
              </w:tc>
              <w:tc>
                <w:tcPr>
                  <w:tcW w:w="1146" w:type="dxa"/>
                  <w:vMerge w:val="continue"/>
                  <w:vAlign w:val="center"/>
                </w:tcPr>
                <w:p w14:paraId="4DCA2C85">
                  <w:pPr>
                    <w:pStyle w:val="6"/>
                    <w:jc w:val="center"/>
                    <w:rPr>
                      <w:rFonts w:hAnsi="宋体" w:eastAsia="宋体" w:cs="宋体"/>
                      <w:sz w:val="18"/>
                      <w:szCs w:val="18"/>
                    </w:rPr>
                  </w:pPr>
                </w:p>
              </w:tc>
            </w:tr>
            <w:tr w14:paraId="0CA0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90" w:type="dxa"/>
                  <w:vMerge w:val="continue"/>
                  <w:vAlign w:val="center"/>
                </w:tcPr>
                <w:p w14:paraId="641550EF">
                  <w:pPr>
                    <w:pStyle w:val="6"/>
                    <w:rPr>
                      <w:rFonts w:hAnsi="宋体" w:eastAsia="宋体" w:cs="宋体"/>
                      <w:sz w:val="18"/>
                      <w:szCs w:val="18"/>
                    </w:rPr>
                  </w:pPr>
                </w:p>
              </w:tc>
              <w:tc>
                <w:tcPr>
                  <w:tcW w:w="986" w:type="dxa"/>
                  <w:vMerge w:val="continue"/>
                  <w:vAlign w:val="center"/>
                </w:tcPr>
                <w:p w14:paraId="610BCA2D">
                  <w:pPr>
                    <w:pStyle w:val="6"/>
                    <w:rPr>
                      <w:rFonts w:hAnsi="宋体" w:eastAsia="宋体" w:cs="宋体"/>
                      <w:sz w:val="18"/>
                      <w:szCs w:val="18"/>
                    </w:rPr>
                  </w:pPr>
                </w:p>
              </w:tc>
              <w:tc>
                <w:tcPr>
                  <w:tcW w:w="3337" w:type="dxa"/>
                  <w:vAlign w:val="center"/>
                </w:tcPr>
                <w:p w14:paraId="38C84D76">
                  <w:pPr>
                    <w:pStyle w:val="6"/>
                    <w:rPr>
                      <w:rFonts w:hAnsi="宋体" w:eastAsia="宋体" w:cs="宋体"/>
                      <w:bCs/>
                      <w:iCs/>
                      <w:spacing w:val="10"/>
                      <w:sz w:val="18"/>
                      <w:szCs w:val="18"/>
                    </w:rPr>
                  </w:pPr>
                  <w:r>
                    <w:rPr>
                      <w:rFonts w:hint="eastAsia" w:hAnsi="宋体" w:eastAsia="宋体" w:cs="宋体"/>
                      <w:bCs/>
                      <w:iCs/>
                      <w:spacing w:val="10"/>
                      <w:sz w:val="18"/>
                      <w:szCs w:val="18"/>
                    </w:rPr>
                    <w:t>垄断竞争厂商根据市场结构均衡条件判断是否进行差异产品产业内贸易</w:t>
                  </w:r>
                </w:p>
              </w:tc>
              <w:tc>
                <w:tcPr>
                  <w:tcW w:w="1146" w:type="dxa"/>
                  <w:vMerge w:val="continue"/>
                  <w:vAlign w:val="center"/>
                </w:tcPr>
                <w:p w14:paraId="14F1200A">
                  <w:pPr>
                    <w:pStyle w:val="6"/>
                    <w:jc w:val="center"/>
                    <w:rPr>
                      <w:rFonts w:hAnsi="宋体" w:eastAsia="宋体" w:cs="宋体"/>
                      <w:sz w:val="18"/>
                      <w:szCs w:val="18"/>
                    </w:rPr>
                  </w:pPr>
                </w:p>
              </w:tc>
            </w:tr>
            <w:tr w14:paraId="4308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90" w:type="dxa"/>
                  <w:vMerge w:val="continue"/>
                  <w:vAlign w:val="center"/>
                </w:tcPr>
                <w:p w14:paraId="52056597">
                  <w:pPr>
                    <w:pStyle w:val="6"/>
                    <w:rPr>
                      <w:rFonts w:hAnsi="宋体" w:eastAsia="宋体" w:cs="宋体"/>
                      <w:sz w:val="18"/>
                      <w:szCs w:val="18"/>
                    </w:rPr>
                  </w:pPr>
                </w:p>
              </w:tc>
              <w:tc>
                <w:tcPr>
                  <w:tcW w:w="986" w:type="dxa"/>
                  <w:vMerge w:val="continue"/>
                  <w:vAlign w:val="center"/>
                </w:tcPr>
                <w:p w14:paraId="690E868F">
                  <w:pPr>
                    <w:pStyle w:val="6"/>
                    <w:rPr>
                      <w:rFonts w:hAnsi="宋体" w:eastAsia="宋体" w:cs="宋体"/>
                      <w:sz w:val="18"/>
                      <w:szCs w:val="18"/>
                    </w:rPr>
                  </w:pPr>
                </w:p>
              </w:tc>
              <w:tc>
                <w:tcPr>
                  <w:tcW w:w="3337" w:type="dxa"/>
                  <w:vAlign w:val="center"/>
                </w:tcPr>
                <w:p w14:paraId="6A875F1E">
                  <w:pPr>
                    <w:pStyle w:val="6"/>
                    <w:rPr>
                      <w:rFonts w:hAnsi="宋体" w:eastAsia="宋体" w:cs="宋体"/>
                      <w:bCs/>
                      <w:iCs/>
                      <w:spacing w:val="10"/>
                      <w:sz w:val="18"/>
                      <w:szCs w:val="18"/>
                    </w:rPr>
                  </w:pPr>
                  <w:r>
                    <w:rPr>
                      <w:rFonts w:hint="eastAsia" w:hAnsi="宋体" w:eastAsia="宋体" w:cs="宋体"/>
                      <w:bCs/>
                      <w:iCs/>
                      <w:spacing w:val="10"/>
                      <w:sz w:val="18"/>
                      <w:szCs w:val="18"/>
                    </w:rPr>
                    <w:t>模拟国际贸易实验中外在规模经济的分析</w:t>
                  </w:r>
                </w:p>
              </w:tc>
              <w:tc>
                <w:tcPr>
                  <w:tcW w:w="1146" w:type="dxa"/>
                  <w:vMerge w:val="continue"/>
                  <w:vAlign w:val="center"/>
                </w:tcPr>
                <w:p w14:paraId="4CBCEBCA">
                  <w:pPr>
                    <w:pStyle w:val="6"/>
                    <w:jc w:val="center"/>
                    <w:rPr>
                      <w:rFonts w:hAnsi="宋体" w:eastAsia="宋体" w:cs="宋体"/>
                      <w:sz w:val="18"/>
                      <w:szCs w:val="18"/>
                    </w:rPr>
                  </w:pPr>
                </w:p>
              </w:tc>
            </w:tr>
            <w:tr w14:paraId="7D7E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90" w:type="dxa"/>
                  <w:vMerge w:val="continue"/>
                  <w:vAlign w:val="center"/>
                </w:tcPr>
                <w:p w14:paraId="22D56497">
                  <w:pPr>
                    <w:pStyle w:val="6"/>
                    <w:rPr>
                      <w:rFonts w:hAnsi="宋体" w:eastAsia="宋体" w:cs="宋体"/>
                      <w:sz w:val="18"/>
                      <w:szCs w:val="18"/>
                    </w:rPr>
                  </w:pPr>
                </w:p>
              </w:tc>
              <w:tc>
                <w:tcPr>
                  <w:tcW w:w="986" w:type="dxa"/>
                  <w:vMerge w:val="restart"/>
                  <w:vAlign w:val="center"/>
                </w:tcPr>
                <w:p w14:paraId="387F216E">
                  <w:pPr>
                    <w:pStyle w:val="6"/>
                    <w:rPr>
                      <w:rFonts w:hAnsi="宋体" w:eastAsia="宋体" w:cs="宋体"/>
                      <w:sz w:val="18"/>
                      <w:szCs w:val="18"/>
                    </w:rPr>
                  </w:pPr>
                  <w:r>
                    <w:rPr>
                      <w:rFonts w:hint="eastAsia" w:hAnsi="宋体" w:eastAsia="宋体" w:cs="宋体"/>
                      <w:sz w:val="18"/>
                      <w:szCs w:val="18"/>
                    </w:rPr>
                    <w:t>实验总结</w:t>
                  </w:r>
                </w:p>
              </w:tc>
              <w:tc>
                <w:tcPr>
                  <w:tcW w:w="3337" w:type="dxa"/>
                  <w:vAlign w:val="center"/>
                </w:tcPr>
                <w:p w14:paraId="69509904">
                  <w:pPr>
                    <w:pStyle w:val="6"/>
                    <w:rPr>
                      <w:rFonts w:hAnsi="宋体" w:eastAsia="宋体" w:cs="宋体"/>
                      <w:bCs/>
                      <w:iCs/>
                      <w:spacing w:val="10"/>
                      <w:sz w:val="18"/>
                      <w:szCs w:val="18"/>
                    </w:rPr>
                  </w:pPr>
                  <w:r>
                    <w:rPr>
                      <w:rFonts w:hint="eastAsia" w:hAnsi="宋体" w:eastAsia="宋体" w:cs="宋体"/>
                      <w:bCs/>
                      <w:iCs/>
                      <w:spacing w:val="10"/>
                      <w:sz w:val="18"/>
                      <w:szCs w:val="18"/>
                    </w:rPr>
                    <w:t>总结不完全竞争市场结构在国际贸易中的应对策略</w:t>
                  </w:r>
                </w:p>
              </w:tc>
              <w:tc>
                <w:tcPr>
                  <w:tcW w:w="1146" w:type="dxa"/>
                  <w:vMerge w:val="continue"/>
                  <w:vAlign w:val="center"/>
                </w:tcPr>
                <w:p w14:paraId="189C0374">
                  <w:pPr>
                    <w:pStyle w:val="6"/>
                    <w:jc w:val="center"/>
                    <w:rPr>
                      <w:rFonts w:hAnsi="宋体" w:eastAsia="宋体" w:cs="宋体"/>
                      <w:sz w:val="18"/>
                      <w:szCs w:val="18"/>
                    </w:rPr>
                  </w:pPr>
                </w:p>
              </w:tc>
            </w:tr>
            <w:tr w14:paraId="60B48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90" w:type="dxa"/>
                  <w:vMerge w:val="continue"/>
                  <w:vAlign w:val="center"/>
                </w:tcPr>
                <w:p w14:paraId="2270777F">
                  <w:pPr>
                    <w:pStyle w:val="6"/>
                    <w:rPr>
                      <w:rFonts w:hAnsi="宋体" w:eastAsia="宋体" w:cs="宋体"/>
                      <w:sz w:val="18"/>
                      <w:szCs w:val="18"/>
                    </w:rPr>
                  </w:pPr>
                </w:p>
              </w:tc>
              <w:tc>
                <w:tcPr>
                  <w:tcW w:w="986" w:type="dxa"/>
                  <w:vMerge w:val="continue"/>
                  <w:vAlign w:val="center"/>
                </w:tcPr>
                <w:p w14:paraId="12387A1F">
                  <w:pPr>
                    <w:pStyle w:val="6"/>
                    <w:rPr>
                      <w:rFonts w:hAnsi="宋体" w:eastAsia="宋体" w:cs="宋体"/>
                      <w:sz w:val="18"/>
                      <w:szCs w:val="18"/>
                    </w:rPr>
                  </w:pPr>
                </w:p>
              </w:tc>
              <w:tc>
                <w:tcPr>
                  <w:tcW w:w="3337" w:type="dxa"/>
                  <w:vAlign w:val="center"/>
                </w:tcPr>
                <w:p w14:paraId="13668746">
                  <w:pPr>
                    <w:pStyle w:val="6"/>
                    <w:rPr>
                      <w:rFonts w:hAnsi="宋体" w:eastAsia="宋体" w:cs="宋体"/>
                      <w:bCs/>
                      <w:iCs/>
                      <w:spacing w:val="10"/>
                      <w:sz w:val="18"/>
                      <w:szCs w:val="18"/>
                    </w:rPr>
                  </w:pPr>
                  <w:r>
                    <w:rPr>
                      <w:rFonts w:hint="eastAsia" w:hAnsi="宋体" w:eastAsia="宋体" w:cs="宋体"/>
                      <w:sz w:val="18"/>
                      <w:szCs w:val="18"/>
                    </w:rPr>
                    <w:t>分析在开放经济下外在规模经济的影响因素</w:t>
                  </w:r>
                </w:p>
              </w:tc>
              <w:tc>
                <w:tcPr>
                  <w:tcW w:w="1146" w:type="dxa"/>
                  <w:vMerge w:val="continue"/>
                  <w:vAlign w:val="center"/>
                </w:tcPr>
                <w:p w14:paraId="4FE969A4">
                  <w:pPr>
                    <w:pStyle w:val="6"/>
                    <w:jc w:val="center"/>
                    <w:rPr>
                      <w:rFonts w:hAnsi="宋体" w:eastAsia="宋体" w:cs="宋体"/>
                      <w:sz w:val="18"/>
                      <w:szCs w:val="18"/>
                    </w:rPr>
                  </w:pPr>
                </w:p>
              </w:tc>
            </w:tr>
          </w:tbl>
          <w:p w14:paraId="0C3B3786">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6CF820C2">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分析各国各厂商市场结构，并判断在开放经济中的市场均衡条件</w:t>
            </w:r>
          </w:p>
          <w:p w14:paraId="6FC36A0C">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模拟外在规模经济的表现</w:t>
            </w:r>
          </w:p>
          <w:p w14:paraId="58C414C3">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分析同质产品产业内贸易的原因</w:t>
            </w:r>
          </w:p>
          <w:p w14:paraId="55348270">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分析差异产品产业内贸易的原因</w:t>
            </w:r>
          </w:p>
          <w:p w14:paraId="1A790039">
            <w:pPr>
              <w:tabs>
                <w:tab w:val="left" w:pos="0"/>
              </w:tabs>
              <w:ind w:firstLine="527" w:firstLineChars="250"/>
              <w:rPr>
                <w:rFonts w:ascii="宋体" w:hAnsi="宋体" w:eastAsia="宋体" w:cs="宋体"/>
                <w:szCs w:val="21"/>
              </w:rPr>
            </w:pPr>
            <w:r>
              <w:rPr>
                <w:rFonts w:hint="eastAsia" w:ascii="宋体" w:hAnsi="宋体" w:eastAsia="宋体" w:cs="宋体"/>
                <w:b/>
                <w:szCs w:val="21"/>
              </w:rPr>
              <w:t>2）实验成果</w:t>
            </w:r>
          </w:p>
          <w:p w14:paraId="452E79E3">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分析在国际贸易中不完全竞争市场结构的应对策略</w:t>
            </w:r>
          </w:p>
          <w:p w14:paraId="44E79F0E">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总结在开放经济中外在规模经济的影响因素</w:t>
            </w:r>
          </w:p>
          <w:p w14:paraId="60D33AF6">
            <w:pPr>
              <w:numPr>
                <w:ilvl w:val="3"/>
                <w:numId w:val="8"/>
              </w:numPr>
              <w:rPr>
                <w:rFonts w:ascii="宋体" w:hAnsi="宋体" w:eastAsia="宋体" w:cs="宋体"/>
                <w:b/>
                <w:color w:val="000000"/>
                <w:kern w:val="0"/>
                <w:szCs w:val="21"/>
              </w:rPr>
            </w:pPr>
            <w:bookmarkStart w:id="6" w:name="_Toc25294"/>
            <w:r>
              <w:rPr>
                <w:rFonts w:hint="eastAsia" w:ascii="宋体" w:hAnsi="宋体" w:eastAsia="宋体" w:cs="宋体"/>
                <w:b/>
                <w:color w:val="000000"/>
                <w:kern w:val="0"/>
                <w:szCs w:val="21"/>
              </w:rPr>
              <w:t>关税、非关税壁垒与贸易保护实验</w:t>
            </w:r>
            <w:bookmarkEnd w:id="6"/>
          </w:p>
          <w:p w14:paraId="05851F66">
            <w:pPr>
              <w:jc w:val="center"/>
              <w:rPr>
                <w:rFonts w:ascii="宋体" w:hAnsi="宋体" w:eastAsia="宋体" w:cs="宋体"/>
                <w:szCs w:val="21"/>
              </w:rPr>
            </w:pPr>
            <w:r>
              <w:rPr>
                <w:rFonts w:hint="eastAsia" w:ascii="宋体" w:hAnsi="宋体" w:eastAsia="宋体" w:cs="宋体"/>
                <w:szCs w:val="21"/>
              </w:rPr>
              <w:t>表5  关税、非关税壁垒与贸易保护实验项目</w:t>
            </w:r>
          </w:p>
          <w:tbl>
            <w:tblPr>
              <w:tblStyle w:val="12"/>
              <w:tblW w:w="6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061"/>
              <w:gridCol w:w="2780"/>
              <w:gridCol w:w="1467"/>
            </w:tblGrid>
            <w:tr w14:paraId="1042F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030" w:type="dxa"/>
                  <w:shd w:val="clear" w:color="auto" w:fill="E6E6E6"/>
                  <w:vAlign w:val="center"/>
                </w:tcPr>
                <w:p w14:paraId="3ACBF6B6">
                  <w:pPr>
                    <w:pStyle w:val="6"/>
                    <w:jc w:val="center"/>
                    <w:rPr>
                      <w:rFonts w:hAnsi="宋体" w:eastAsia="宋体" w:cs="宋体"/>
                      <w:sz w:val="18"/>
                      <w:szCs w:val="18"/>
                    </w:rPr>
                  </w:pPr>
                  <w:r>
                    <w:rPr>
                      <w:rFonts w:hint="eastAsia" w:hAnsi="宋体" w:eastAsia="宋体" w:cs="宋体"/>
                      <w:sz w:val="18"/>
                      <w:szCs w:val="18"/>
                    </w:rPr>
                    <w:t>一级模块</w:t>
                  </w:r>
                </w:p>
              </w:tc>
              <w:tc>
                <w:tcPr>
                  <w:tcW w:w="1061" w:type="dxa"/>
                  <w:shd w:val="clear" w:color="auto" w:fill="E6E6E6"/>
                  <w:vAlign w:val="center"/>
                </w:tcPr>
                <w:p w14:paraId="3E3B63DB">
                  <w:pPr>
                    <w:pStyle w:val="6"/>
                    <w:jc w:val="center"/>
                    <w:rPr>
                      <w:rFonts w:hAnsi="宋体" w:eastAsia="宋体" w:cs="宋体"/>
                      <w:sz w:val="18"/>
                      <w:szCs w:val="18"/>
                    </w:rPr>
                  </w:pPr>
                  <w:r>
                    <w:rPr>
                      <w:rFonts w:hint="eastAsia" w:hAnsi="宋体" w:eastAsia="宋体" w:cs="宋体"/>
                      <w:sz w:val="18"/>
                      <w:szCs w:val="18"/>
                    </w:rPr>
                    <w:t>二级模块</w:t>
                  </w:r>
                </w:p>
              </w:tc>
              <w:tc>
                <w:tcPr>
                  <w:tcW w:w="2780" w:type="dxa"/>
                  <w:shd w:val="clear" w:color="auto" w:fill="E6E6E6"/>
                  <w:vAlign w:val="center"/>
                </w:tcPr>
                <w:p w14:paraId="772A6F56">
                  <w:pPr>
                    <w:pStyle w:val="6"/>
                    <w:jc w:val="center"/>
                    <w:rPr>
                      <w:rFonts w:hAnsi="宋体" w:eastAsia="宋体" w:cs="宋体"/>
                      <w:sz w:val="18"/>
                      <w:szCs w:val="18"/>
                    </w:rPr>
                  </w:pPr>
                  <w:r>
                    <w:rPr>
                      <w:rFonts w:hint="eastAsia" w:hAnsi="宋体" w:eastAsia="宋体" w:cs="宋体"/>
                      <w:sz w:val="18"/>
                      <w:szCs w:val="18"/>
                    </w:rPr>
                    <w:t>实验项目名称</w:t>
                  </w:r>
                </w:p>
              </w:tc>
              <w:tc>
                <w:tcPr>
                  <w:tcW w:w="1467" w:type="dxa"/>
                  <w:shd w:val="clear" w:color="auto" w:fill="E6E6E6"/>
                  <w:vAlign w:val="center"/>
                </w:tcPr>
                <w:p w14:paraId="6ED6B5CC">
                  <w:pPr>
                    <w:pStyle w:val="6"/>
                    <w:jc w:val="center"/>
                    <w:rPr>
                      <w:rFonts w:hAnsi="宋体" w:eastAsia="宋体" w:cs="宋体"/>
                      <w:sz w:val="18"/>
                      <w:szCs w:val="18"/>
                    </w:rPr>
                  </w:pPr>
                  <w:r>
                    <w:rPr>
                      <w:rFonts w:hint="eastAsia" w:hAnsi="宋体" w:eastAsia="宋体" w:cs="宋体"/>
                      <w:sz w:val="18"/>
                      <w:szCs w:val="18"/>
                    </w:rPr>
                    <w:t>涉及知识点</w:t>
                  </w:r>
                </w:p>
              </w:tc>
            </w:tr>
            <w:tr w14:paraId="1D90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30" w:type="dxa"/>
                  <w:vMerge w:val="restart"/>
                  <w:vAlign w:val="center"/>
                </w:tcPr>
                <w:p w14:paraId="22AD3972">
                  <w:pPr>
                    <w:pStyle w:val="6"/>
                    <w:rPr>
                      <w:rFonts w:hAnsi="宋体" w:eastAsia="宋体" w:cs="宋体"/>
                      <w:sz w:val="18"/>
                      <w:szCs w:val="18"/>
                    </w:rPr>
                  </w:pPr>
                  <w:r>
                    <w:rPr>
                      <w:rFonts w:hint="eastAsia" w:hAnsi="宋体" w:eastAsia="宋体" w:cs="宋体"/>
                      <w:sz w:val="18"/>
                      <w:szCs w:val="18"/>
                    </w:rPr>
                    <w:t>关税、非关税壁垒与贸易保护实验</w:t>
                  </w:r>
                </w:p>
              </w:tc>
              <w:tc>
                <w:tcPr>
                  <w:tcW w:w="1061" w:type="dxa"/>
                  <w:vAlign w:val="center"/>
                </w:tcPr>
                <w:p w14:paraId="27411DFD">
                  <w:pPr>
                    <w:pStyle w:val="6"/>
                    <w:rPr>
                      <w:rFonts w:hAnsi="宋体" w:eastAsia="宋体" w:cs="宋体"/>
                      <w:sz w:val="18"/>
                      <w:szCs w:val="18"/>
                    </w:rPr>
                  </w:pPr>
                  <w:r>
                    <w:rPr>
                      <w:rFonts w:hint="eastAsia" w:hAnsi="宋体" w:eastAsia="宋体" w:cs="宋体"/>
                      <w:sz w:val="18"/>
                      <w:szCs w:val="18"/>
                    </w:rPr>
                    <w:t>导入培训</w:t>
                  </w:r>
                </w:p>
              </w:tc>
              <w:tc>
                <w:tcPr>
                  <w:tcW w:w="2780" w:type="dxa"/>
                  <w:vAlign w:val="center"/>
                </w:tcPr>
                <w:p w14:paraId="15C473E4">
                  <w:pPr>
                    <w:pStyle w:val="6"/>
                    <w:rPr>
                      <w:rFonts w:hAnsi="宋体" w:eastAsia="宋体" w:cs="宋体"/>
                      <w:bCs/>
                      <w:iCs/>
                      <w:spacing w:val="10"/>
                      <w:sz w:val="18"/>
                      <w:szCs w:val="18"/>
                    </w:rPr>
                  </w:pPr>
                  <w:r>
                    <w:rPr>
                      <w:rFonts w:hint="eastAsia" w:hAnsi="宋体" w:eastAsia="宋体" w:cs="宋体"/>
                      <w:bCs/>
                      <w:iCs/>
                      <w:spacing w:val="10"/>
                      <w:sz w:val="18"/>
                      <w:szCs w:val="18"/>
                    </w:rPr>
                    <w:t>关税、非关税壁垒、贸易保护措施概念</w:t>
                  </w:r>
                </w:p>
              </w:tc>
              <w:tc>
                <w:tcPr>
                  <w:tcW w:w="1467" w:type="dxa"/>
                  <w:vMerge w:val="restart"/>
                  <w:vAlign w:val="center"/>
                </w:tcPr>
                <w:p w14:paraId="5D97C5B7">
                  <w:pPr>
                    <w:pStyle w:val="6"/>
                    <w:jc w:val="center"/>
                    <w:rPr>
                      <w:rFonts w:hAnsi="宋体" w:eastAsia="宋体" w:cs="宋体"/>
                      <w:sz w:val="18"/>
                      <w:szCs w:val="18"/>
                    </w:rPr>
                  </w:pPr>
                  <w:r>
                    <w:rPr>
                      <w:rFonts w:hint="eastAsia" w:hAnsi="宋体" w:eastAsia="宋体" w:cs="宋体"/>
                      <w:sz w:val="18"/>
                      <w:szCs w:val="18"/>
                    </w:rPr>
                    <w:t>关税</w:t>
                  </w:r>
                </w:p>
                <w:p w14:paraId="637DAA4B">
                  <w:pPr>
                    <w:pStyle w:val="6"/>
                    <w:jc w:val="center"/>
                    <w:rPr>
                      <w:rFonts w:hAnsi="宋体" w:eastAsia="宋体" w:cs="宋体"/>
                      <w:sz w:val="18"/>
                      <w:szCs w:val="18"/>
                    </w:rPr>
                  </w:pPr>
                  <w:r>
                    <w:rPr>
                      <w:rFonts w:hint="eastAsia" w:hAnsi="宋体" w:eastAsia="宋体" w:cs="宋体"/>
                      <w:sz w:val="18"/>
                      <w:szCs w:val="18"/>
                    </w:rPr>
                    <w:t>非关税壁垒</w:t>
                  </w:r>
                </w:p>
                <w:p w14:paraId="0C035C8C">
                  <w:pPr>
                    <w:pStyle w:val="6"/>
                    <w:jc w:val="center"/>
                    <w:rPr>
                      <w:rFonts w:hAnsi="宋体" w:eastAsia="宋体" w:cs="宋体"/>
                      <w:sz w:val="18"/>
                      <w:szCs w:val="18"/>
                    </w:rPr>
                  </w:pPr>
                  <w:r>
                    <w:rPr>
                      <w:rFonts w:hint="eastAsia" w:hAnsi="宋体" w:eastAsia="宋体" w:cs="宋体"/>
                      <w:sz w:val="18"/>
                      <w:szCs w:val="18"/>
                    </w:rPr>
                    <w:t>贸易保护措施</w:t>
                  </w:r>
                </w:p>
              </w:tc>
            </w:tr>
            <w:tr w14:paraId="0414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30" w:type="dxa"/>
                  <w:vMerge w:val="continue"/>
                  <w:vAlign w:val="center"/>
                </w:tcPr>
                <w:p w14:paraId="02075F02">
                  <w:pPr>
                    <w:pStyle w:val="6"/>
                    <w:rPr>
                      <w:rFonts w:hAnsi="宋体" w:eastAsia="宋体" w:cs="宋体"/>
                      <w:sz w:val="18"/>
                      <w:szCs w:val="18"/>
                    </w:rPr>
                  </w:pPr>
                </w:p>
              </w:tc>
              <w:tc>
                <w:tcPr>
                  <w:tcW w:w="1061" w:type="dxa"/>
                  <w:vMerge w:val="restart"/>
                  <w:vAlign w:val="center"/>
                </w:tcPr>
                <w:p w14:paraId="41BB1B50">
                  <w:pPr>
                    <w:pStyle w:val="6"/>
                    <w:rPr>
                      <w:rFonts w:hAnsi="宋体" w:eastAsia="宋体" w:cs="宋体"/>
                      <w:sz w:val="18"/>
                      <w:szCs w:val="18"/>
                    </w:rPr>
                  </w:pPr>
                  <w:r>
                    <w:rPr>
                      <w:rFonts w:hint="eastAsia" w:hAnsi="宋体" w:eastAsia="宋体" w:cs="宋体"/>
                      <w:sz w:val="18"/>
                      <w:szCs w:val="18"/>
                    </w:rPr>
                    <w:t>实验准备</w:t>
                  </w:r>
                </w:p>
              </w:tc>
              <w:tc>
                <w:tcPr>
                  <w:tcW w:w="2780" w:type="dxa"/>
                  <w:vAlign w:val="center"/>
                </w:tcPr>
                <w:p w14:paraId="22853BD8">
                  <w:pPr>
                    <w:pStyle w:val="6"/>
                    <w:rPr>
                      <w:rFonts w:hAnsi="宋体" w:eastAsia="宋体" w:cs="宋体"/>
                      <w:bCs/>
                      <w:iCs/>
                      <w:spacing w:val="10"/>
                      <w:sz w:val="18"/>
                      <w:szCs w:val="18"/>
                    </w:rPr>
                  </w:pPr>
                  <w:r>
                    <w:rPr>
                      <w:rFonts w:hint="eastAsia" w:hAnsi="宋体" w:eastAsia="宋体" w:cs="宋体"/>
                      <w:sz w:val="18"/>
                      <w:szCs w:val="18"/>
                    </w:rPr>
                    <w:t>理解实验中关税与非关税壁垒差异</w:t>
                  </w:r>
                </w:p>
              </w:tc>
              <w:tc>
                <w:tcPr>
                  <w:tcW w:w="1467" w:type="dxa"/>
                  <w:vMerge w:val="continue"/>
                  <w:vAlign w:val="center"/>
                </w:tcPr>
                <w:p w14:paraId="49C95BBE">
                  <w:pPr>
                    <w:pStyle w:val="6"/>
                    <w:jc w:val="center"/>
                    <w:rPr>
                      <w:rFonts w:hAnsi="宋体" w:eastAsia="宋体" w:cs="宋体"/>
                      <w:sz w:val="18"/>
                      <w:szCs w:val="18"/>
                    </w:rPr>
                  </w:pPr>
                </w:p>
              </w:tc>
            </w:tr>
            <w:tr w14:paraId="07480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30" w:type="dxa"/>
                  <w:vMerge w:val="continue"/>
                  <w:vAlign w:val="center"/>
                </w:tcPr>
                <w:p w14:paraId="581F9A38">
                  <w:pPr>
                    <w:pStyle w:val="6"/>
                    <w:rPr>
                      <w:rFonts w:hAnsi="宋体" w:eastAsia="宋体" w:cs="宋体"/>
                      <w:sz w:val="18"/>
                      <w:szCs w:val="18"/>
                    </w:rPr>
                  </w:pPr>
                </w:p>
              </w:tc>
              <w:tc>
                <w:tcPr>
                  <w:tcW w:w="1061" w:type="dxa"/>
                  <w:vMerge w:val="continue"/>
                  <w:vAlign w:val="center"/>
                </w:tcPr>
                <w:p w14:paraId="69B1C081">
                  <w:pPr>
                    <w:pStyle w:val="6"/>
                    <w:rPr>
                      <w:rFonts w:hAnsi="宋体" w:eastAsia="宋体" w:cs="宋体"/>
                      <w:sz w:val="18"/>
                      <w:szCs w:val="18"/>
                    </w:rPr>
                  </w:pPr>
                </w:p>
              </w:tc>
              <w:tc>
                <w:tcPr>
                  <w:tcW w:w="2780" w:type="dxa"/>
                  <w:vAlign w:val="center"/>
                </w:tcPr>
                <w:p w14:paraId="7D6390C7">
                  <w:pPr>
                    <w:pStyle w:val="6"/>
                    <w:rPr>
                      <w:rFonts w:hAnsi="宋体" w:eastAsia="宋体" w:cs="宋体"/>
                      <w:bCs/>
                      <w:iCs/>
                      <w:spacing w:val="10"/>
                      <w:sz w:val="18"/>
                      <w:szCs w:val="18"/>
                    </w:rPr>
                  </w:pPr>
                  <w:r>
                    <w:rPr>
                      <w:rFonts w:hint="eastAsia" w:hAnsi="宋体" w:eastAsia="宋体" w:cs="宋体"/>
                      <w:bCs/>
                      <w:iCs/>
                      <w:spacing w:val="10"/>
                      <w:sz w:val="18"/>
                      <w:szCs w:val="18"/>
                    </w:rPr>
                    <w:t>熟悉</w:t>
                  </w:r>
                  <w:r>
                    <w:rPr>
                      <w:rFonts w:hint="eastAsia" w:hAnsi="宋体" w:eastAsia="宋体" w:cs="宋体"/>
                      <w:bCs/>
                      <w:iCs/>
                      <w:spacing w:val="10"/>
                      <w:sz w:val="18"/>
                      <w:szCs w:val="18"/>
                      <w:lang w:eastAsia="zh-CN"/>
                    </w:rPr>
                    <w:t>优势</w:t>
                  </w:r>
                  <w:r>
                    <w:rPr>
                      <w:rFonts w:hint="eastAsia" w:hAnsi="宋体" w:eastAsia="宋体" w:cs="宋体"/>
                      <w:bCs/>
                      <w:iCs/>
                      <w:spacing w:val="10"/>
                      <w:sz w:val="18"/>
                      <w:szCs w:val="18"/>
                    </w:rPr>
                    <w:t>产业和战略性产业的</w:t>
                  </w:r>
                  <w:r>
                    <w:rPr>
                      <w:rStyle w:val="15"/>
                      <w:rFonts w:hint="eastAsia" w:hAnsi="宋体" w:eastAsia="宋体" w:cs="宋体"/>
                      <w:kern w:val="0"/>
                      <w:sz w:val="18"/>
                      <w:szCs w:val="18"/>
                    </w:rPr>
                    <w:t>特征</w:t>
                  </w:r>
                </w:p>
              </w:tc>
              <w:tc>
                <w:tcPr>
                  <w:tcW w:w="1467" w:type="dxa"/>
                  <w:vMerge w:val="continue"/>
                  <w:vAlign w:val="center"/>
                </w:tcPr>
                <w:p w14:paraId="77512612">
                  <w:pPr>
                    <w:pStyle w:val="6"/>
                    <w:jc w:val="center"/>
                    <w:rPr>
                      <w:rFonts w:hAnsi="宋体" w:eastAsia="宋体" w:cs="宋体"/>
                      <w:sz w:val="18"/>
                      <w:szCs w:val="18"/>
                    </w:rPr>
                  </w:pPr>
                </w:p>
              </w:tc>
            </w:tr>
            <w:tr w14:paraId="0315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030" w:type="dxa"/>
                  <w:vMerge w:val="continue"/>
                  <w:vAlign w:val="center"/>
                </w:tcPr>
                <w:p w14:paraId="45D4AA39">
                  <w:pPr>
                    <w:pStyle w:val="6"/>
                    <w:rPr>
                      <w:rFonts w:hAnsi="宋体" w:eastAsia="宋体" w:cs="宋体"/>
                      <w:sz w:val="18"/>
                      <w:szCs w:val="18"/>
                    </w:rPr>
                  </w:pPr>
                </w:p>
              </w:tc>
              <w:tc>
                <w:tcPr>
                  <w:tcW w:w="1061" w:type="dxa"/>
                  <w:vMerge w:val="continue"/>
                  <w:vAlign w:val="center"/>
                </w:tcPr>
                <w:p w14:paraId="2E273B6C">
                  <w:pPr>
                    <w:pStyle w:val="6"/>
                    <w:rPr>
                      <w:rFonts w:hAnsi="宋体" w:eastAsia="宋体" w:cs="宋体"/>
                      <w:sz w:val="18"/>
                      <w:szCs w:val="18"/>
                    </w:rPr>
                  </w:pPr>
                </w:p>
              </w:tc>
              <w:tc>
                <w:tcPr>
                  <w:tcW w:w="2780" w:type="dxa"/>
                  <w:vAlign w:val="center"/>
                </w:tcPr>
                <w:p w14:paraId="06DEC64F">
                  <w:pPr>
                    <w:pStyle w:val="6"/>
                    <w:rPr>
                      <w:rFonts w:hAnsi="宋体" w:eastAsia="宋体" w:cs="宋体"/>
                      <w:bCs/>
                      <w:iCs/>
                      <w:spacing w:val="10"/>
                      <w:sz w:val="18"/>
                      <w:szCs w:val="18"/>
                    </w:rPr>
                  </w:pPr>
                  <w:r>
                    <w:rPr>
                      <w:rFonts w:hint="eastAsia" w:hAnsi="宋体" w:eastAsia="宋体" w:cs="宋体"/>
                      <w:bCs/>
                      <w:iCs/>
                      <w:spacing w:val="10"/>
                      <w:sz w:val="18"/>
                      <w:szCs w:val="18"/>
                    </w:rPr>
                    <w:t>理解关税、非关税壁垒及其他贸易保护措施导致的国际经济波动差异</w:t>
                  </w:r>
                </w:p>
              </w:tc>
              <w:tc>
                <w:tcPr>
                  <w:tcW w:w="1467" w:type="dxa"/>
                  <w:vMerge w:val="continue"/>
                  <w:vAlign w:val="center"/>
                </w:tcPr>
                <w:p w14:paraId="614FF98B">
                  <w:pPr>
                    <w:pStyle w:val="6"/>
                    <w:jc w:val="center"/>
                    <w:rPr>
                      <w:rFonts w:hAnsi="宋体" w:eastAsia="宋体" w:cs="宋体"/>
                      <w:sz w:val="18"/>
                      <w:szCs w:val="18"/>
                    </w:rPr>
                  </w:pPr>
                </w:p>
              </w:tc>
            </w:tr>
            <w:tr w14:paraId="7DBC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030" w:type="dxa"/>
                  <w:vMerge w:val="continue"/>
                  <w:vAlign w:val="center"/>
                </w:tcPr>
                <w:p w14:paraId="5CA9B157">
                  <w:pPr>
                    <w:pStyle w:val="6"/>
                    <w:rPr>
                      <w:rFonts w:hAnsi="宋体" w:eastAsia="宋体" w:cs="宋体"/>
                      <w:sz w:val="18"/>
                      <w:szCs w:val="18"/>
                    </w:rPr>
                  </w:pPr>
                </w:p>
              </w:tc>
              <w:tc>
                <w:tcPr>
                  <w:tcW w:w="1061" w:type="dxa"/>
                  <w:vMerge w:val="restart"/>
                  <w:vAlign w:val="center"/>
                </w:tcPr>
                <w:p w14:paraId="3DB8AD6E">
                  <w:pPr>
                    <w:pStyle w:val="6"/>
                    <w:rPr>
                      <w:rFonts w:hAnsi="宋体" w:eastAsia="宋体" w:cs="宋体"/>
                      <w:sz w:val="18"/>
                      <w:szCs w:val="18"/>
                    </w:rPr>
                  </w:pPr>
                  <w:r>
                    <w:rPr>
                      <w:rFonts w:hint="eastAsia" w:hAnsi="宋体" w:eastAsia="宋体" w:cs="宋体"/>
                      <w:sz w:val="18"/>
                      <w:szCs w:val="18"/>
                    </w:rPr>
                    <w:t>实验实施</w:t>
                  </w:r>
                </w:p>
              </w:tc>
              <w:tc>
                <w:tcPr>
                  <w:tcW w:w="2780" w:type="dxa"/>
                </w:tcPr>
                <w:p w14:paraId="07EF1CFD">
                  <w:pPr>
                    <w:rPr>
                      <w:rFonts w:ascii="宋体" w:hAnsi="宋体" w:eastAsia="宋体" w:cs="宋体"/>
                      <w:sz w:val="18"/>
                      <w:szCs w:val="18"/>
                    </w:rPr>
                  </w:pPr>
                  <w:r>
                    <w:rPr>
                      <w:rFonts w:hint="eastAsia" w:ascii="宋体" w:hAnsi="宋体" w:eastAsia="宋体" w:cs="宋体"/>
                      <w:sz w:val="18"/>
                      <w:szCs w:val="18"/>
                    </w:rPr>
                    <w:t>模拟国际贸易中关税、非关税壁垒等贸易保护措施</w:t>
                  </w:r>
                </w:p>
              </w:tc>
              <w:tc>
                <w:tcPr>
                  <w:tcW w:w="1467" w:type="dxa"/>
                  <w:vMerge w:val="continue"/>
                  <w:vAlign w:val="center"/>
                </w:tcPr>
                <w:p w14:paraId="5E37FBA2">
                  <w:pPr>
                    <w:pStyle w:val="6"/>
                    <w:jc w:val="center"/>
                    <w:rPr>
                      <w:rFonts w:hAnsi="宋体" w:eastAsia="宋体" w:cs="宋体"/>
                      <w:sz w:val="18"/>
                      <w:szCs w:val="18"/>
                    </w:rPr>
                  </w:pPr>
                </w:p>
              </w:tc>
            </w:tr>
            <w:tr w14:paraId="3B48B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30" w:type="dxa"/>
                  <w:vMerge w:val="continue"/>
                  <w:vAlign w:val="center"/>
                </w:tcPr>
                <w:p w14:paraId="4972008B">
                  <w:pPr>
                    <w:pStyle w:val="6"/>
                    <w:rPr>
                      <w:rFonts w:hAnsi="宋体" w:eastAsia="宋体" w:cs="宋体"/>
                      <w:sz w:val="18"/>
                      <w:szCs w:val="18"/>
                    </w:rPr>
                  </w:pPr>
                </w:p>
              </w:tc>
              <w:tc>
                <w:tcPr>
                  <w:tcW w:w="1061" w:type="dxa"/>
                  <w:vMerge w:val="continue"/>
                  <w:vAlign w:val="center"/>
                </w:tcPr>
                <w:p w14:paraId="284B2E47">
                  <w:pPr>
                    <w:pStyle w:val="6"/>
                    <w:rPr>
                      <w:rFonts w:hAnsi="宋体" w:eastAsia="宋体" w:cs="宋体"/>
                      <w:sz w:val="18"/>
                      <w:szCs w:val="18"/>
                    </w:rPr>
                  </w:pPr>
                </w:p>
              </w:tc>
              <w:tc>
                <w:tcPr>
                  <w:tcW w:w="2780" w:type="dxa"/>
                </w:tcPr>
                <w:p w14:paraId="46D684C9">
                  <w:pPr>
                    <w:rPr>
                      <w:rFonts w:ascii="宋体" w:hAnsi="宋体" w:eastAsia="宋体" w:cs="宋体"/>
                      <w:sz w:val="18"/>
                      <w:szCs w:val="18"/>
                    </w:rPr>
                  </w:pPr>
                  <w:r>
                    <w:rPr>
                      <w:rFonts w:hint="eastAsia" w:ascii="宋体" w:hAnsi="宋体" w:eastAsia="宋体" w:cs="宋体"/>
                      <w:sz w:val="18"/>
                      <w:szCs w:val="18"/>
                    </w:rPr>
                    <w:t>核算进出口业务的关税、出口补贴</w:t>
                  </w:r>
                </w:p>
              </w:tc>
              <w:tc>
                <w:tcPr>
                  <w:tcW w:w="1467" w:type="dxa"/>
                  <w:vMerge w:val="continue"/>
                  <w:vAlign w:val="center"/>
                </w:tcPr>
                <w:p w14:paraId="62DF85FB">
                  <w:pPr>
                    <w:pStyle w:val="6"/>
                    <w:jc w:val="center"/>
                    <w:rPr>
                      <w:rFonts w:hAnsi="宋体" w:eastAsia="宋体" w:cs="宋体"/>
                      <w:sz w:val="18"/>
                      <w:szCs w:val="18"/>
                    </w:rPr>
                  </w:pPr>
                </w:p>
              </w:tc>
            </w:tr>
            <w:tr w14:paraId="7850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030" w:type="dxa"/>
                  <w:vMerge w:val="continue"/>
                  <w:vAlign w:val="center"/>
                </w:tcPr>
                <w:p w14:paraId="2C8FDC72">
                  <w:pPr>
                    <w:pStyle w:val="6"/>
                    <w:rPr>
                      <w:rFonts w:hAnsi="宋体" w:eastAsia="宋体" w:cs="宋体"/>
                      <w:sz w:val="18"/>
                      <w:szCs w:val="18"/>
                    </w:rPr>
                  </w:pPr>
                </w:p>
              </w:tc>
              <w:tc>
                <w:tcPr>
                  <w:tcW w:w="1061" w:type="dxa"/>
                  <w:vMerge w:val="continue"/>
                  <w:vAlign w:val="center"/>
                </w:tcPr>
                <w:p w14:paraId="40FF6D47">
                  <w:pPr>
                    <w:pStyle w:val="6"/>
                    <w:rPr>
                      <w:rFonts w:hAnsi="宋体" w:eastAsia="宋体" w:cs="宋体"/>
                      <w:sz w:val="18"/>
                      <w:szCs w:val="18"/>
                    </w:rPr>
                  </w:pPr>
                </w:p>
              </w:tc>
              <w:tc>
                <w:tcPr>
                  <w:tcW w:w="2780" w:type="dxa"/>
                  <w:vAlign w:val="center"/>
                </w:tcPr>
                <w:p w14:paraId="0EB5F90C">
                  <w:pPr>
                    <w:pStyle w:val="6"/>
                    <w:rPr>
                      <w:rFonts w:hAnsi="宋体" w:eastAsia="宋体" w:cs="宋体"/>
                      <w:bCs/>
                      <w:iCs/>
                      <w:spacing w:val="10"/>
                      <w:sz w:val="18"/>
                      <w:szCs w:val="18"/>
                    </w:rPr>
                  </w:pPr>
                  <w:r>
                    <w:rPr>
                      <w:rFonts w:hint="eastAsia" w:hAnsi="宋体" w:eastAsia="宋体" w:cs="宋体"/>
                      <w:bCs/>
                      <w:iCs/>
                      <w:spacing w:val="10"/>
                      <w:sz w:val="18"/>
                      <w:szCs w:val="18"/>
                    </w:rPr>
                    <w:t>分析出口补贴、配额等非关税壁垒对国际贸易的影响</w:t>
                  </w:r>
                </w:p>
              </w:tc>
              <w:tc>
                <w:tcPr>
                  <w:tcW w:w="1467" w:type="dxa"/>
                  <w:vMerge w:val="continue"/>
                  <w:vAlign w:val="center"/>
                </w:tcPr>
                <w:p w14:paraId="1A2E26AA">
                  <w:pPr>
                    <w:pStyle w:val="6"/>
                    <w:jc w:val="center"/>
                    <w:rPr>
                      <w:rFonts w:hAnsi="宋体" w:eastAsia="宋体" w:cs="宋体"/>
                      <w:sz w:val="18"/>
                      <w:szCs w:val="18"/>
                    </w:rPr>
                  </w:pPr>
                </w:p>
              </w:tc>
            </w:tr>
            <w:tr w14:paraId="70B8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030" w:type="dxa"/>
                  <w:vMerge w:val="continue"/>
                  <w:vAlign w:val="center"/>
                </w:tcPr>
                <w:p w14:paraId="2146031B">
                  <w:pPr>
                    <w:pStyle w:val="6"/>
                    <w:rPr>
                      <w:rFonts w:hAnsi="宋体" w:eastAsia="宋体" w:cs="宋体"/>
                      <w:sz w:val="18"/>
                      <w:szCs w:val="18"/>
                    </w:rPr>
                  </w:pPr>
                </w:p>
              </w:tc>
              <w:tc>
                <w:tcPr>
                  <w:tcW w:w="1061" w:type="dxa"/>
                  <w:vMerge w:val="continue"/>
                  <w:vAlign w:val="center"/>
                </w:tcPr>
                <w:p w14:paraId="30BF5CE8">
                  <w:pPr>
                    <w:pStyle w:val="6"/>
                    <w:rPr>
                      <w:rFonts w:hAnsi="宋体" w:eastAsia="宋体" w:cs="宋体"/>
                      <w:sz w:val="18"/>
                      <w:szCs w:val="18"/>
                    </w:rPr>
                  </w:pPr>
                </w:p>
              </w:tc>
              <w:tc>
                <w:tcPr>
                  <w:tcW w:w="2780" w:type="dxa"/>
                  <w:vAlign w:val="center"/>
                </w:tcPr>
                <w:p w14:paraId="4868FB7F">
                  <w:pPr>
                    <w:pStyle w:val="6"/>
                    <w:rPr>
                      <w:rFonts w:hAnsi="宋体" w:eastAsia="宋体" w:cs="宋体"/>
                      <w:bCs/>
                      <w:iCs/>
                      <w:spacing w:val="10"/>
                      <w:sz w:val="18"/>
                      <w:szCs w:val="18"/>
                    </w:rPr>
                  </w:pPr>
                  <w:r>
                    <w:rPr>
                      <w:rFonts w:hint="eastAsia" w:hAnsi="宋体" w:eastAsia="宋体" w:cs="宋体"/>
                      <w:bCs/>
                      <w:iCs/>
                      <w:spacing w:val="10"/>
                      <w:sz w:val="18"/>
                      <w:szCs w:val="18"/>
                    </w:rPr>
                    <w:t>各国判断在开放经济中幼稚产业和战略性产业情况</w:t>
                  </w:r>
                </w:p>
              </w:tc>
              <w:tc>
                <w:tcPr>
                  <w:tcW w:w="1467" w:type="dxa"/>
                  <w:vMerge w:val="continue"/>
                  <w:vAlign w:val="center"/>
                </w:tcPr>
                <w:p w14:paraId="793C767F">
                  <w:pPr>
                    <w:pStyle w:val="6"/>
                    <w:jc w:val="center"/>
                    <w:rPr>
                      <w:rFonts w:hAnsi="宋体" w:eastAsia="宋体" w:cs="宋体"/>
                      <w:sz w:val="18"/>
                      <w:szCs w:val="18"/>
                    </w:rPr>
                  </w:pPr>
                </w:p>
              </w:tc>
            </w:tr>
            <w:tr w14:paraId="2D28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030" w:type="dxa"/>
                  <w:vMerge w:val="continue"/>
                  <w:vAlign w:val="center"/>
                </w:tcPr>
                <w:p w14:paraId="28D793C8">
                  <w:pPr>
                    <w:pStyle w:val="6"/>
                    <w:rPr>
                      <w:rFonts w:hAnsi="宋体" w:eastAsia="宋体" w:cs="宋体"/>
                      <w:sz w:val="18"/>
                      <w:szCs w:val="18"/>
                    </w:rPr>
                  </w:pPr>
                </w:p>
              </w:tc>
              <w:tc>
                <w:tcPr>
                  <w:tcW w:w="1061" w:type="dxa"/>
                  <w:vMerge w:val="restart"/>
                  <w:vAlign w:val="center"/>
                </w:tcPr>
                <w:p w14:paraId="0D0748D8">
                  <w:pPr>
                    <w:pStyle w:val="6"/>
                    <w:rPr>
                      <w:rFonts w:hAnsi="宋体" w:eastAsia="宋体" w:cs="宋体"/>
                      <w:sz w:val="18"/>
                      <w:szCs w:val="18"/>
                    </w:rPr>
                  </w:pPr>
                  <w:r>
                    <w:rPr>
                      <w:rFonts w:hint="eastAsia" w:hAnsi="宋体" w:eastAsia="宋体" w:cs="宋体"/>
                      <w:sz w:val="18"/>
                      <w:szCs w:val="18"/>
                    </w:rPr>
                    <w:t>实验总结</w:t>
                  </w:r>
                </w:p>
              </w:tc>
              <w:tc>
                <w:tcPr>
                  <w:tcW w:w="2780" w:type="dxa"/>
                  <w:vAlign w:val="center"/>
                </w:tcPr>
                <w:p w14:paraId="4F185EF9">
                  <w:pPr>
                    <w:pStyle w:val="6"/>
                    <w:rPr>
                      <w:rFonts w:hAnsi="宋体" w:eastAsia="宋体" w:cs="宋体"/>
                      <w:bCs/>
                      <w:iCs/>
                      <w:spacing w:val="10"/>
                      <w:sz w:val="18"/>
                      <w:szCs w:val="18"/>
                    </w:rPr>
                  </w:pPr>
                  <w:r>
                    <w:rPr>
                      <w:rFonts w:hint="eastAsia" w:hAnsi="宋体" w:eastAsia="宋体" w:cs="宋体"/>
                      <w:bCs/>
                      <w:iCs/>
                      <w:spacing w:val="10"/>
                      <w:sz w:val="18"/>
                      <w:szCs w:val="18"/>
                    </w:rPr>
                    <w:t>总结非关税壁垒的表现</w:t>
                  </w:r>
                </w:p>
              </w:tc>
              <w:tc>
                <w:tcPr>
                  <w:tcW w:w="1467" w:type="dxa"/>
                  <w:vMerge w:val="continue"/>
                  <w:vAlign w:val="center"/>
                </w:tcPr>
                <w:p w14:paraId="66690E72">
                  <w:pPr>
                    <w:pStyle w:val="6"/>
                    <w:jc w:val="center"/>
                    <w:rPr>
                      <w:rFonts w:hAnsi="宋体" w:eastAsia="宋体" w:cs="宋体"/>
                      <w:sz w:val="18"/>
                      <w:szCs w:val="18"/>
                    </w:rPr>
                  </w:pPr>
                </w:p>
              </w:tc>
            </w:tr>
            <w:tr w14:paraId="16E8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030" w:type="dxa"/>
                  <w:vMerge w:val="continue"/>
                  <w:vAlign w:val="center"/>
                </w:tcPr>
                <w:p w14:paraId="15420431">
                  <w:pPr>
                    <w:pStyle w:val="6"/>
                    <w:rPr>
                      <w:rFonts w:hAnsi="宋体" w:eastAsia="宋体" w:cs="宋体"/>
                      <w:sz w:val="18"/>
                      <w:szCs w:val="18"/>
                    </w:rPr>
                  </w:pPr>
                </w:p>
              </w:tc>
              <w:tc>
                <w:tcPr>
                  <w:tcW w:w="1061" w:type="dxa"/>
                  <w:vMerge w:val="continue"/>
                  <w:vAlign w:val="center"/>
                </w:tcPr>
                <w:p w14:paraId="21866C89">
                  <w:pPr>
                    <w:pStyle w:val="6"/>
                    <w:rPr>
                      <w:rFonts w:hAnsi="宋体" w:eastAsia="宋体" w:cs="宋体"/>
                      <w:sz w:val="18"/>
                      <w:szCs w:val="18"/>
                    </w:rPr>
                  </w:pPr>
                </w:p>
              </w:tc>
              <w:tc>
                <w:tcPr>
                  <w:tcW w:w="2780" w:type="dxa"/>
                  <w:vAlign w:val="center"/>
                </w:tcPr>
                <w:p w14:paraId="352F2D88">
                  <w:pPr>
                    <w:pStyle w:val="6"/>
                    <w:rPr>
                      <w:rFonts w:hAnsi="宋体" w:eastAsia="宋体" w:cs="宋体"/>
                      <w:bCs/>
                      <w:iCs/>
                      <w:spacing w:val="10"/>
                      <w:sz w:val="18"/>
                      <w:szCs w:val="18"/>
                    </w:rPr>
                  </w:pPr>
                  <w:r>
                    <w:rPr>
                      <w:rFonts w:hint="eastAsia" w:hAnsi="宋体" w:eastAsia="宋体" w:cs="宋体"/>
                      <w:bCs/>
                      <w:iCs/>
                      <w:spacing w:val="10"/>
                      <w:sz w:val="18"/>
                      <w:szCs w:val="18"/>
                    </w:rPr>
                    <w:t>总结</w:t>
                  </w:r>
                  <w:r>
                    <w:rPr>
                      <w:rFonts w:hint="eastAsia" w:hAnsi="宋体" w:eastAsia="宋体" w:cs="宋体"/>
                      <w:bCs/>
                      <w:iCs/>
                      <w:spacing w:val="10"/>
                      <w:sz w:val="18"/>
                      <w:szCs w:val="18"/>
                      <w:lang w:eastAsia="zh-CN"/>
                    </w:rPr>
                    <w:t>优势</w:t>
                  </w:r>
                  <w:r>
                    <w:rPr>
                      <w:rFonts w:hint="eastAsia" w:hAnsi="宋体" w:eastAsia="宋体" w:cs="宋体"/>
                      <w:bCs/>
                      <w:iCs/>
                      <w:spacing w:val="10"/>
                      <w:sz w:val="18"/>
                      <w:szCs w:val="18"/>
                    </w:rPr>
                    <w:t>产业和战略性产业在国际贸易中的应对策略</w:t>
                  </w:r>
                </w:p>
              </w:tc>
              <w:tc>
                <w:tcPr>
                  <w:tcW w:w="1467" w:type="dxa"/>
                  <w:vMerge w:val="continue"/>
                  <w:vAlign w:val="center"/>
                </w:tcPr>
                <w:p w14:paraId="1ACAFA7F">
                  <w:pPr>
                    <w:pStyle w:val="6"/>
                    <w:jc w:val="center"/>
                    <w:rPr>
                      <w:rFonts w:hAnsi="宋体" w:eastAsia="宋体" w:cs="宋体"/>
                      <w:sz w:val="18"/>
                      <w:szCs w:val="18"/>
                    </w:rPr>
                  </w:pPr>
                </w:p>
              </w:tc>
            </w:tr>
            <w:tr w14:paraId="5EA8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030" w:type="dxa"/>
                  <w:vMerge w:val="continue"/>
                  <w:vAlign w:val="center"/>
                </w:tcPr>
                <w:p w14:paraId="6508A728">
                  <w:pPr>
                    <w:pStyle w:val="6"/>
                    <w:rPr>
                      <w:rFonts w:hAnsi="宋体" w:eastAsia="宋体" w:cs="宋体"/>
                      <w:sz w:val="18"/>
                      <w:szCs w:val="18"/>
                    </w:rPr>
                  </w:pPr>
                </w:p>
              </w:tc>
              <w:tc>
                <w:tcPr>
                  <w:tcW w:w="1061" w:type="dxa"/>
                  <w:vMerge w:val="continue"/>
                  <w:vAlign w:val="center"/>
                </w:tcPr>
                <w:p w14:paraId="21B4F6CA">
                  <w:pPr>
                    <w:pStyle w:val="6"/>
                    <w:rPr>
                      <w:rFonts w:hAnsi="宋体" w:eastAsia="宋体" w:cs="宋体"/>
                      <w:sz w:val="18"/>
                      <w:szCs w:val="18"/>
                    </w:rPr>
                  </w:pPr>
                </w:p>
              </w:tc>
              <w:tc>
                <w:tcPr>
                  <w:tcW w:w="2780" w:type="dxa"/>
                  <w:vAlign w:val="center"/>
                </w:tcPr>
                <w:p w14:paraId="62C01922">
                  <w:pPr>
                    <w:pStyle w:val="6"/>
                    <w:rPr>
                      <w:rFonts w:hAnsi="宋体" w:eastAsia="宋体" w:cs="宋体"/>
                      <w:bCs/>
                      <w:iCs/>
                      <w:spacing w:val="10"/>
                      <w:sz w:val="18"/>
                      <w:szCs w:val="18"/>
                    </w:rPr>
                  </w:pPr>
                  <w:r>
                    <w:rPr>
                      <w:rFonts w:hint="eastAsia" w:hAnsi="宋体" w:eastAsia="宋体" w:cs="宋体"/>
                      <w:bCs/>
                      <w:iCs/>
                      <w:spacing w:val="10"/>
                      <w:sz w:val="18"/>
                      <w:szCs w:val="18"/>
                    </w:rPr>
                    <w:t>揭示关税、非关税壁垒、贸易保护措施对国际贸易的影响</w:t>
                  </w:r>
                </w:p>
              </w:tc>
              <w:tc>
                <w:tcPr>
                  <w:tcW w:w="1467" w:type="dxa"/>
                  <w:vMerge w:val="continue"/>
                  <w:vAlign w:val="center"/>
                </w:tcPr>
                <w:p w14:paraId="64A1E2EF">
                  <w:pPr>
                    <w:pStyle w:val="6"/>
                    <w:jc w:val="center"/>
                    <w:rPr>
                      <w:rFonts w:hAnsi="宋体" w:eastAsia="宋体" w:cs="宋体"/>
                      <w:sz w:val="18"/>
                      <w:szCs w:val="18"/>
                    </w:rPr>
                  </w:pPr>
                </w:p>
              </w:tc>
            </w:tr>
          </w:tbl>
          <w:p w14:paraId="71CE4EE5">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7BA508B1">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各国政府设定关税税率、出口补贴金额</w:t>
            </w:r>
          </w:p>
          <w:p w14:paraId="55F36D4C">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各国政府每一年调整进出口关税、出口补贴金额</w:t>
            </w:r>
          </w:p>
          <w:p w14:paraId="44D69E81">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各国政府根据上年运营情况区分幼稚产业和战略性产业,并制定相应的贸易保护措施</w:t>
            </w:r>
          </w:p>
          <w:p w14:paraId="5C79BCB4">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各国每一年汽车市场进出口业务随关税和非关税壁垒调控变化</w:t>
            </w:r>
          </w:p>
          <w:p w14:paraId="7CC3BD70">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各组分析关税、非关税壁垒、幼稚产业和战略性产业贸易保护措施对现实国际经济的影响</w:t>
            </w:r>
          </w:p>
          <w:p w14:paraId="615B3B40">
            <w:pPr>
              <w:ind w:firstLine="527" w:firstLineChars="250"/>
              <w:rPr>
                <w:rFonts w:ascii="宋体" w:hAnsi="宋体" w:eastAsia="宋体" w:cs="宋体"/>
                <w:b/>
                <w:szCs w:val="21"/>
              </w:rPr>
            </w:pPr>
            <w:r>
              <w:rPr>
                <w:rFonts w:hint="eastAsia" w:ascii="宋体" w:hAnsi="宋体" w:eastAsia="宋体" w:cs="宋体"/>
                <w:b/>
                <w:szCs w:val="21"/>
              </w:rPr>
              <w:t>2）实验成果</w:t>
            </w:r>
          </w:p>
          <w:p w14:paraId="3AE88993">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在开放经济中国际间贸易战的原因分析</w:t>
            </w:r>
          </w:p>
          <w:p w14:paraId="28CE3D3D">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开放经济下国际贸易风险分析报告</w:t>
            </w:r>
          </w:p>
          <w:p w14:paraId="33BE26A8">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关税、非关税壁垒在现实中的应用分析</w:t>
            </w:r>
          </w:p>
          <w:p w14:paraId="4CC70B9D">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总结在现实中幼稚产业和战略性产业的情况及相关国际贸易保护措施</w:t>
            </w:r>
          </w:p>
          <w:p w14:paraId="6A81410D">
            <w:pPr>
              <w:numPr>
                <w:ilvl w:val="3"/>
                <w:numId w:val="8"/>
              </w:numPr>
              <w:rPr>
                <w:rFonts w:ascii="宋体" w:hAnsi="宋体" w:eastAsia="宋体" w:cs="宋体"/>
                <w:b/>
                <w:color w:val="000000"/>
                <w:kern w:val="0"/>
                <w:szCs w:val="21"/>
              </w:rPr>
            </w:pPr>
            <w:bookmarkStart w:id="7" w:name="_Toc8797"/>
            <w:r>
              <w:rPr>
                <w:rFonts w:hint="eastAsia" w:ascii="宋体" w:hAnsi="宋体" w:eastAsia="宋体" w:cs="宋体"/>
                <w:b/>
                <w:color w:val="000000"/>
                <w:kern w:val="0"/>
                <w:szCs w:val="21"/>
              </w:rPr>
              <w:t>国际要素流动与跨国直接投资实验</w:t>
            </w:r>
            <w:bookmarkEnd w:id="7"/>
          </w:p>
          <w:p w14:paraId="4C61C1CF">
            <w:pPr>
              <w:jc w:val="center"/>
              <w:rPr>
                <w:rFonts w:ascii="宋体" w:hAnsi="宋体" w:eastAsia="宋体" w:cs="宋体"/>
                <w:szCs w:val="21"/>
              </w:rPr>
            </w:pPr>
            <w:r>
              <w:rPr>
                <w:rFonts w:hint="eastAsia" w:ascii="宋体" w:hAnsi="宋体" w:eastAsia="宋体" w:cs="宋体"/>
                <w:szCs w:val="21"/>
              </w:rPr>
              <w:t>表6  国际要素流动与跨国直接投资实验项目</w:t>
            </w:r>
          </w:p>
          <w:tbl>
            <w:tblPr>
              <w:tblStyle w:val="12"/>
              <w:tblW w:w="6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042"/>
              <w:gridCol w:w="3098"/>
              <w:gridCol w:w="1161"/>
            </w:tblGrid>
            <w:tr w14:paraId="3F65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037" w:type="dxa"/>
                  <w:shd w:val="clear" w:color="auto" w:fill="E6E6E6"/>
                  <w:vAlign w:val="center"/>
                </w:tcPr>
                <w:p w14:paraId="278D322D">
                  <w:pPr>
                    <w:pStyle w:val="6"/>
                    <w:jc w:val="center"/>
                    <w:rPr>
                      <w:rFonts w:hAnsi="宋体" w:eastAsia="宋体" w:cs="宋体"/>
                      <w:sz w:val="18"/>
                      <w:szCs w:val="18"/>
                    </w:rPr>
                  </w:pPr>
                  <w:r>
                    <w:rPr>
                      <w:rFonts w:hint="eastAsia" w:hAnsi="宋体" w:eastAsia="宋体" w:cs="宋体"/>
                      <w:sz w:val="18"/>
                      <w:szCs w:val="18"/>
                    </w:rPr>
                    <w:t>一级模块</w:t>
                  </w:r>
                </w:p>
              </w:tc>
              <w:tc>
                <w:tcPr>
                  <w:tcW w:w="1042" w:type="dxa"/>
                  <w:shd w:val="clear" w:color="auto" w:fill="E6E6E6"/>
                  <w:vAlign w:val="center"/>
                </w:tcPr>
                <w:p w14:paraId="353B8B5C">
                  <w:pPr>
                    <w:pStyle w:val="6"/>
                    <w:jc w:val="center"/>
                    <w:rPr>
                      <w:rFonts w:hAnsi="宋体" w:eastAsia="宋体" w:cs="宋体"/>
                      <w:sz w:val="18"/>
                      <w:szCs w:val="18"/>
                    </w:rPr>
                  </w:pPr>
                  <w:r>
                    <w:rPr>
                      <w:rFonts w:hint="eastAsia" w:hAnsi="宋体" w:eastAsia="宋体" w:cs="宋体"/>
                      <w:sz w:val="18"/>
                      <w:szCs w:val="18"/>
                    </w:rPr>
                    <w:t>二级模块</w:t>
                  </w:r>
                </w:p>
              </w:tc>
              <w:tc>
                <w:tcPr>
                  <w:tcW w:w="3098" w:type="dxa"/>
                  <w:shd w:val="clear" w:color="auto" w:fill="E6E6E6"/>
                  <w:vAlign w:val="center"/>
                </w:tcPr>
                <w:p w14:paraId="7313F232">
                  <w:pPr>
                    <w:pStyle w:val="6"/>
                    <w:jc w:val="center"/>
                    <w:rPr>
                      <w:rFonts w:hAnsi="宋体" w:eastAsia="宋体" w:cs="宋体"/>
                      <w:sz w:val="18"/>
                      <w:szCs w:val="18"/>
                    </w:rPr>
                  </w:pPr>
                  <w:r>
                    <w:rPr>
                      <w:rFonts w:hint="eastAsia" w:hAnsi="宋体" w:eastAsia="宋体" w:cs="宋体"/>
                      <w:sz w:val="18"/>
                      <w:szCs w:val="18"/>
                    </w:rPr>
                    <w:t>实验项目名称</w:t>
                  </w:r>
                </w:p>
              </w:tc>
              <w:tc>
                <w:tcPr>
                  <w:tcW w:w="1161" w:type="dxa"/>
                  <w:shd w:val="clear" w:color="auto" w:fill="E6E6E6"/>
                  <w:vAlign w:val="center"/>
                </w:tcPr>
                <w:p w14:paraId="28CA6A93">
                  <w:pPr>
                    <w:pStyle w:val="6"/>
                    <w:jc w:val="center"/>
                    <w:rPr>
                      <w:rFonts w:hAnsi="宋体" w:eastAsia="宋体" w:cs="宋体"/>
                      <w:sz w:val="18"/>
                      <w:szCs w:val="18"/>
                    </w:rPr>
                  </w:pPr>
                  <w:r>
                    <w:rPr>
                      <w:rFonts w:hint="eastAsia" w:hAnsi="宋体" w:eastAsia="宋体" w:cs="宋体"/>
                      <w:sz w:val="18"/>
                      <w:szCs w:val="18"/>
                    </w:rPr>
                    <w:t>涉及知识点</w:t>
                  </w:r>
                </w:p>
              </w:tc>
            </w:tr>
            <w:tr w14:paraId="39447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restart"/>
                  <w:vAlign w:val="center"/>
                </w:tcPr>
                <w:p w14:paraId="1C6FF42A">
                  <w:pPr>
                    <w:pStyle w:val="6"/>
                    <w:rPr>
                      <w:rFonts w:hAnsi="宋体" w:eastAsia="宋体" w:cs="宋体"/>
                      <w:sz w:val="18"/>
                      <w:szCs w:val="18"/>
                    </w:rPr>
                  </w:pPr>
                  <w:r>
                    <w:rPr>
                      <w:rFonts w:hint="eastAsia" w:hAnsi="宋体" w:eastAsia="宋体" w:cs="宋体"/>
                      <w:sz w:val="18"/>
                      <w:szCs w:val="18"/>
                    </w:rPr>
                    <w:t>国际要素流动与跨国直接投资实验</w:t>
                  </w:r>
                </w:p>
              </w:tc>
              <w:tc>
                <w:tcPr>
                  <w:tcW w:w="1042" w:type="dxa"/>
                  <w:vMerge w:val="restart"/>
                  <w:vAlign w:val="center"/>
                </w:tcPr>
                <w:p w14:paraId="64D64152">
                  <w:pPr>
                    <w:pStyle w:val="6"/>
                    <w:rPr>
                      <w:rFonts w:hAnsi="宋体" w:eastAsia="宋体" w:cs="宋体"/>
                      <w:sz w:val="18"/>
                      <w:szCs w:val="18"/>
                    </w:rPr>
                  </w:pPr>
                  <w:r>
                    <w:rPr>
                      <w:rFonts w:hint="eastAsia" w:hAnsi="宋体" w:eastAsia="宋体" w:cs="宋体"/>
                      <w:sz w:val="18"/>
                      <w:szCs w:val="18"/>
                    </w:rPr>
                    <w:t>导入培训</w:t>
                  </w:r>
                </w:p>
              </w:tc>
              <w:tc>
                <w:tcPr>
                  <w:tcW w:w="3098" w:type="dxa"/>
                  <w:vAlign w:val="center"/>
                </w:tcPr>
                <w:p w14:paraId="7C94E799">
                  <w:pPr>
                    <w:pStyle w:val="6"/>
                    <w:rPr>
                      <w:rFonts w:hAnsi="宋体" w:eastAsia="宋体" w:cs="宋体"/>
                      <w:sz w:val="18"/>
                      <w:szCs w:val="18"/>
                    </w:rPr>
                  </w:pPr>
                  <w:r>
                    <w:rPr>
                      <w:rFonts w:hint="eastAsia" w:hAnsi="宋体" w:eastAsia="宋体" w:cs="宋体"/>
                      <w:sz w:val="18"/>
                      <w:szCs w:val="18"/>
                    </w:rPr>
                    <w:t>系统中生产要素如何在国际间流动</w:t>
                  </w:r>
                </w:p>
              </w:tc>
              <w:tc>
                <w:tcPr>
                  <w:tcW w:w="1161" w:type="dxa"/>
                  <w:vMerge w:val="restart"/>
                  <w:vAlign w:val="center"/>
                </w:tcPr>
                <w:p w14:paraId="362534DE">
                  <w:pPr>
                    <w:pStyle w:val="6"/>
                    <w:jc w:val="center"/>
                    <w:rPr>
                      <w:rFonts w:hAnsi="宋体" w:eastAsia="宋体" w:cs="宋体"/>
                      <w:sz w:val="18"/>
                      <w:szCs w:val="18"/>
                    </w:rPr>
                  </w:pPr>
                  <w:r>
                    <w:rPr>
                      <w:rFonts w:hint="eastAsia" w:hAnsi="宋体" w:eastAsia="宋体" w:cs="宋体"/>
                      <w:sz w:val="18"/>
                      <w:szCs w:val="18"/>
                    </w:rPr>
                    <w:t>国际资本要素流动</w:t>
                  </w:r>
                </w:p>
                <w:p w14:paraId="78187134">
                  <w:pPr>
                    <w:pStyle w:val="6"/>
                    <w:jc w:val="center"/>
                    <w:rPr>
                      <w:rFonts w:hAnsi="宋体" w:eastAsia="宋体" w:cs="宋体"/>
                      <w:sz w:val="18"/>
                      <w:szCs w:val="18"/>
                    </w:rPr>
                  </w:pPr>
                  <w:r>
                    <w:rPr>
                      <w:rFonts w:hint="eastAsia" w:hAnsi="宋体" w:eastAsia="宋体" w:cs="宋体"/>
                      <w:sz w:val="18"/>
                      <w:szCs w:val="18"/>
                    </w:rPr>
                    <w:t>国际劳动力流动</w:t>
                  </w:r>
                </w:p>
                <w:p w14:paraId="46A80407">
                  <w:pPr>
                    <w:pStyle w:val="6"/>
                    <w:jc w:val="center"/>
                    <w:rPr>
                      <w:rFonts w:hAnsi="宋体" w:eastAsia="宋体" w:cs="宋体"/>
                      <w:sz w:val="18"/>
                      <w:szCs w:val="18"/>
                    </w:rPr>
                  </w:pPr>
                  <w:r>
                    <w:rPr>
                      <w:rFonts w:hint="eastAsia" w:hAnsi="宋体" w:eastAsia="宋体" w:cs="宋体"/>
                      <w:sz w:val="18"/>
                      <w:szCs w:val="18"/>
                    </w:rPr>
                    <w:t>国际直接投资与跨国公司</w:t>
                  </w:r>
                </w:p>
              </w:tc>
            </w:tr>
            <w:tr w14:paraId="5DDD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1E27AD3D">
                  <w:pPr>
                    <w:pStyle w:val="6"/>
                    <w:rPr>
                      <w:rFonts w:hAnsi="宋体" w:eastAsia="宋体" w:cs="宋体"/>
                      <w:sz w:val="18"/>
                      <w:szCs w:val="18"/>
                    </w:rPr>
                  </w:pPr>
                </w:p>
              </w:tc>
              <w:tc>
                <w:tcPr>
                  <w:tcW w:w="1042" w:type="dxa"/>
                  <w:vMerge w:val="continue"/>
                  <w:vAlign w:val="center"/>
                </w:tcPr>
                <w:p w14:paraId="47AFF8DB">
                  <w:pPr>
                    <w:pStyle w:val="6"/>
                    <w:rPr>
                      <w:rFonts w:hAnsi="宋体" w:eastAsia="宋体" w:cs="宋体"/>
                      <w:sz w:val="18"/>
                      <w:szCs w:val="18"/>
                    </w:rPr>
                  </w:pPr>
                </w:p>
              </w:tc>
              <w:tc>
                <w:tcPr>
                  <w:tcW w:w="3098" w:type="dxa"/>
                  <w:vAlign w:val="center"/>
                </w:tcPr>
                <w:p w14:paraId="74B5191B">
                  <w:pPr>
                    <w:pStyle w:val="6"/>
                    <w:rPr>
                      <w:rFonts w:hAnsi="宋体" w:eastAsia="宋体" w:cs="宋体"/>
                      <w:bCs/>
                      <w:iCs/>
                      <w:spacing w:val="10"/>
                      <w:sz w:val="18"/>
                      <w:szCs w:val="18"/>
                    </w:rPr>
                  </w:pPr>
                  <w:r>
                    <w:rPr>
                      <w:rFonts w:hint="eastAsia" w:hAnsi="宋体" w:eastAsia="宋体" w:cs="宋体"/>
                      <w:bCs/>
                      <w:iCs/>
                      <w:spacing w:val="10"/>
                      <w:sz w:val="18"/>
                      <w:szCs w:val="18"/>
                    </w:rPr>
                    <w:t>各国厂商跨国直接投资</w:t>
                  </w:r>
                </w:p>
              </w:tc>
              <w:tc>
                <w:tcPr>
                  <w:tcW w:w="1161" w:type="dxa"/>
                  <w:vMerge w:val="continue"/>
                  <w:vAlign w:val="center"/>
                </w:tcPr>
                <w:p w14:paraId="66CA8138">
                  <w:pPr>
                    <w:pStyle w:val="6"/>
                    <w:jc w:val="center"/>
                    <w:rPr>
                      <w:rFonts w:hAnsi="宋体" w:eastAsia="宋体" w:cs="宋体"/>
                      <w:sz w:val="18"/>
                      <w:szCs w:val="18"/>
                    </w:rPr>
                  </w:pPr>
                </w:p>
              </w:tc>
            </w:tr>
            <w:tr w14:paraId="6C30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13C6261A">
                  <w:pPr>
                    <w:pStyle w:val="6"/>
                    <w:rPr>
                      <w:rFonts w:hAnsi="宋体" w:eastAsia="宋体" w:cs="宋体"/>
                      <w:sz w:val="18"/>
                      <w:szCs w:val="18"/>
                    </w:rPr>
                  </w:pPr>
                </w:p>
              </w:tc>
              <w:tc>
                <w:tcPr>
                  <w:tcW w:w="1042" w:type="dxa"/>
                  <w:vMerge w:val="restart"/>
                  <w:vAlign w:val="center"/>
                </w:tcPr>
                <w:p w14:paraId="5BC70C73">
                  <w:pPr>
                    <w:pStyle w:val="6"/>
                    <w:rPr>
                      <w:rFonts w:hAnsi="宋体" w:eastAsia="宋体" w:cs="宋体"/>
                      <w:sz w:val="18"/>
                      <w:szCs w:val="18"/>
                    </w:rPr>
                  </w:pPr>
                  <w:r>
                    <w:rPr>
                      <w:rFonts w:hint="eastAsia" w:hAnsi="宋体" w:eastAsia="宋体" w:cs="宋体"/>
                      <w:sz w:val="18"/>
                      <w:szCs w:val="18"/>
                    </w:rPr>
                    <w:t>实验准备</w:t>
                  </w:r>
                </w:p>
              </w:tc>
              <w:tc>
                <w:tcPr>
                  <w:tcW w:w="3098" w:type="dxa"/>
                  <w:vAlign w:val="center"/>
                </w:tcPr>
                <w:p w14:paraId="057B8A3F">
                  <w:pPr>
                    <w:pStyle w:val="6"/>
                    <w:rPr>
                      <w:rFonts w:hAnsi="宋体" w:eastAsia="宋体" w:cs="宋体"/>
                      <w:bCs/>
                      <w:iCs/>
                      <w:spacing w:val="10"/>
                      <w:sz w:val="18"/>
                      <w:szCs w:val="18"/>
                    </w:rPr>
                  </w:pPr>
                  <w:r>
                    <w:rPr>
                      <w:rFonts w:hint="eastAsia" w:hAnsi="宋体" w:eastAsia="宋体" w:cs="宋体"/>
                      <w:bCs/>
                      <w:iCs/>
                      <w:spacing w:val="10"/>
                      <w:sz w:val="18"/>
                      <w:szCs w:val="18"/>
                    </w:rPr>
                    <w:t>熟悉国际资本要素流动的相关理论及效果</w:t>
                  </w:r>
                </w:p>
              </w:tc>
              <w:tc>
                <w:tcPr>
                  <w:tcW w:w="1161" w:type="dxa"/>
                  <w:vMerge w:val="continue"/>
                  <w:vAlign w:val="center"/>
                </w:tcPr>
                <w:p w14:paraId="1E04CD6C">
                  <w:pPr>
                    <w:jc w:val="center"/>
                    <w:rPr>
                      <w:rFonts w:ascii="宋体" w:hAnsi="宋体" w:eastAsia="宋体" w:cs="宋体"/>
                      <w:sz w:val="18"/>
                      <w:szCs w:val="18"/>
                    </w:rPr>
                  </w:pPr>
                </w:p>
              </w:tc>
            </w:tr>
            <w:tr w14:paraId="0DB5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228475F8">
                  <w:pPr>
                    <w:pStyle w:val="6"/>
                    <w:rPr>
                      <w:rFonts w:hAnsi="宋体" w:eastAsia="宋体" w:cs="宋体"/>
                      <w:sz w:val="18"/>
                      <w:szCs w:val="18"/>
                    </w:rPr>
                  </w:pPr>
                </w:p>
              </w:tc>
              <w:tc>
                <w:tcPr>
                  <w:tcW w:w="1042" w:type="dxa"/>
                  <w:vMerge w:val="continue"/>
                  <w:vAlign w:val="center"/>
                </w:tcPr>
                <w:p w14:paraId="13604895">
                  <w:pPr>
                    <w:pStyle w:val="6"/>
                    <w:rPr>
                      <w:rFonts w:hAnsi="宋体" w:eastAsia="宋体" w:cs="宋体"/>
                      <w:sz w:val="18"/>
                      <w:szCs w:val="18"/>
                    </w:rPr>
                  </w:pPr>
                </w:p>
              </w:tc>
              <w:tc>
                <w:tcPr>
                  <w:tcW w:w="3098" w:type="dxa"/>
                  <w:vAlign w:val="center"/>
                </w:tcPr>
                <w:p w14:paraId="0540BC41">
                  <w:pPr>
                    <w:pStyle w:val="6"/>
                    <w:rPr>
                      <w:rFonts w:hAnsi="宋体" w:eastAsia="宋体" w:cs="宋体"/>
                      <w:bCs/>
                      <w:iCs/>
                      <w:spacing w:val="10"/>
                      <w:sz w:val="18"/>
                      <w:szCs w:val="18"/>
                    </w:rPr>
                  </w:pPr>
                  <w:r>
                    <w:rPr>
                      <w:rFonts w:hint="eastAsia" w:hAnsi="宋体" w:eastAsia="宋体" w:cs="宋体"/>
                      <w:bCs/>
                      <w:iCs/>
                      <w:spacing w:val="10"/>
                      <w:sz w:val="18"/>
                      <w:szCs w:val="18"/>
                    </w:rPr>
                    <w:t>熟悉国际劳动力流动的相关理论及效果</w:t>
                  </w:r>
                </w:p>
              </w:tc>
              <w:tc>
                <w:tcPr>
                  <w:tcW w:w="1161" w:type="dxa"/>
                  <w:vMerge w:val="continue"/>
                  <w:vAlign w:val="center"/>
                </w:tcPr>
                <w:p w14:paraId="2AE32215">
                  <w:pPr>
                    <w:pStyle w:val="6"/>
                    <w:jc w:val="center"/>
                    <w:rPr>
                      <w:rFonts w:hAnsi="宋体" w:eastAsia="宋体" w:cs="宋体"/>
                      <w:sz w:val="18"/>
                      <w:szCs w:val="18"/>
                    </w:rPr>
                  </w:pPr>
                </w:p>
              </w:tc>
            </w:tr>
            <w:tr w14:paraId="412F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78B8A49F">
                  <w:pPr>
                    <w:pStyle w:val="6"/>
                    <w:rPr>
                      <w:rFonts w:hAnsi="宋体" w:eastAsia="宋体" w:cs="宋体"/>
                      <w:sz w:val="18"/>
                      <w:szCs w:val="18"/>
                    </w:rPr>
                  </w:pPr>
                </w:p>
              </w:tc>
              <w:tc>
                <w:tcPr>
                  <w:tcW w:w="1042" w:type="dxa"/>
                  <w:vMerge w:val="continue"/>
                  <w:vAlign w:val="center"/>
                </w:tcPr>
                <w:p w14:paraId="4F936406">
                  <w:pPr>
                    <w:pStyle w:val="6"/>
                    <w:rPr>
                      <w:rFonts w:hAnsi="宋体" w:eastAsia="宋体" w:cs="宋体"/>
                      <w:sz w:val="18"/>
                      <w:szCs w:val="18"/>
                    </w:rPr>
                  </w:pPr>
                </w:p>
              </w:tc>
              <w:tc>
                <w:tcPr>
                  <w:tcW w:w="3098" w:type="dxa"/>
                  <w:vAlign w:val="center"/>
                </w:tcPr>
                <w:p w14:paraId="0DE18DEB">
                  <w:pPr>
                    <w:pStyle w:val="6"/>
                    <w:rPr>
                      <w:rFonts w:hAnsi="宋体" w:eastAsia="宋体" w:cs="宋体"/>
                      <w:bCs/>
                      <w:iCs/>
                      <w:spacing w:val="10"/>
                      <w:sz w:val="18"/>
                      <w:szCs w:val="18"/>
                    </w:rPr>
                  </w:pPr>
                  <w:r>
                    <w:rPr>
                      <w:rFonts w:hint="eastAsia" w:hAnsi="宋体" w:eastAsia="宋体" w:cs="宋体"/>
                      <w:sz w:val="18"/>
                      <w:szCs w:val="18"/>
                    </w:rPr>
                    <w:t xml:space="preserve">制定资本、劳动力流动规则和跨国直接投资规则 </w:t>
                  </w:r>
                </w:p>
              </w:tc>
              <w:tc>
                <w:tcPr>
                  <w:tcW w:w="1161" w:type="dxa"/>
                  <w:vMerge w:val="continue"/>
                  <w:vAlign w:val="center"/>
                </w:tcPr>
                <w:p w14:paraId="5B460E88">
                  <w:pPr>
                    <w:pStyle w:val="6"/>
                    <w:jc w:val="center"/>
                    <w:rPr>
                      <w:rFonts w:hAnsi="宋体" w:eastAsia="宋体" w:cs="宋体"/>
                      <w:sz w:val="18"/>
                      <w:szCs w:val="18"/>
                    </w:rPr>
                  </w:pPr>
                </w:p>
              </w:tc>
            </w:tr>
            <w:tr w14:paraId="31C4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27B959FC">
                  <w:pPr>
                    <w:pStyle w:val="6"/>
                    <w:rPr>
                      <w:rFonts w:hAnsi="宋体" w:eastAsia="宋体" w:cs="宋体"/>
                      <w:sz w:val="18"/>
                      <w:szCs w:val="18"/>
                    </w:rPr>
                  </w:pPr>
                </w:p>
              </w:tc>
              <w:tc>
                <w:tcPr>
                  <w:tcW w:w="1042" w:type="dxa"/>
                  <w:vMerge w:val="restart"/>
                  <w:vAlign w:val="center"/>
                </w:tcPr>
                <w:p w14:paraId="5DB8DADB">
                  <w:pPr>
                    <w:pStyle w:val="6"/>
                    <w:rPr>
                      <w:rFonts w:hAnsi="宋体" w:eastAsia="宋体" w:cs="宋体"/>
                      <w:sz w:val="18"/>
                      <w:szCs w:val="18"/>
                    </w:rPr>
                  </w:pPr>
                  <w:r>
                    <w:rPr>
                      <w:rFonts w:hint="eastAsia" w:hAnsi="宋体" w:eastAsia="宋体" w:cs="宋体"/>
                      <w:sz w:val="18"/>
                      <w:szCs w:val="18"/>
                    </w:rPr>
                    <w:t>实验实施</w:t>
                  </w:r>
                </w:p>
              </w:tc>
              <w:tc>
                <w:tcPr>
                  <w:tcW w:w="3098" w:type="dxa"/>
                  <w:vAlign w:val="center"/>
                </w:tcPr>
                <w:p w14:paraId="155D9839">
                  <w:pPr>
                    <w:pStyle w:val="6"/>
                    <w:rPr>
                      <w:rFonts w:hAnsi="宋体" w:eastAsia="宋体" w:cs="宋体"/>
                      <w:bCs/>
                      <w:iCs/>
                      <w:spacing w:val="10"/>
                      <w:sz w:val="18"/>
                      <w:szCs w:val="18"/>
                    </w:rPr>
                  </w:pPr>
                  <w:r>
                    <w:rPr>
                      <w:rFonts w:hint="eastAsia" w:hAnsi="宋体" w:eastAsia="宋体" w:cs="宋体"/>
                      <w:bCs/>
                      <w:iCs/>
                      <w:spacing w:val="10"/>
                      <w:sz w:val="18"/>
                      <w:szCs w:val="18"/>
                    </w:rPr>
                    <w:t>建立跨国公司</w:t>
                  </w:r>
                </w:p>
              </w:tc>
              <w:tc>
                <w:tcPr>
                  <w:tcW w:w="1161" w:type="dxa"/>
                  <w:vMerge w:val="continue"/>
                  <w:vAlign w:val="center"/>
                </w:tcPr>
                <w:p w14:paraId="4F6B4F7E">
                  <w:pPr>
                    <w:jc w:val="center"/>
                    <w:rPr>
                      <w:rFonts w:ascii="宋体" w:hAnsi="宋体" w:eastAsia="宋体" w:cs="宋体"/>
                      <w:sz w:val="18"/>
                      <w:szCs w:val="18"/>
                    </w:rPr>
                  </w:pPr>
                </w:p>
              </w:tc>
            </w:tr>
            <w:tr w14:paraId="1586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6A426200">
                  <w:pPr>
                    <w:pStyle w:val="6"/>
                    <w:rPr>
                      <w:rFonts w:hAnsi="宋体" w:eastAsia="宋体" w:cs="宋体"/>
                      <w:sz w:val="18"/>
                      <w:szCs w:val="18"/>
                    </w:rPr>
                  </w:pPr>
                </w:p>
              </w:tc>
              <w:tc>
                <w:tcPr>
                  <w:tcW w:w="1042" w:type="dxa"/>
                  <w:vMerge w:val="continue"/>
                  <w:vAlign w:val="center"/>
                </w:tcPr>
                <w:p w14:paraId="7FC5E09E">
                  <w:pPr>
                    <w:pStyle w:val="6"/>
                    <w:rPr>
                      <w:rFonts w:hAnsi="宋体" w:eastAsia="宋体" w:cs="宋体"/>
                      <w:sz w:val="18"/>
                      <w:szCs w:val="18"/>
                    </w:rPr>
                  </w:pPr>
                </w:p>
              </w:tc>
              <w:tc>
                <w:tcPr>
                  <w:tcW w:w="3098" w:type="dxa"/>
                  <w:vAlign w:val="center"/>
                </w:tcPr>
                <w:p w14:paraId="187F0CFC">
                  <w:pPr>
                    <w:pStyle w:val="6"/>
                    <w:rPr>
                      <w:rFonts w:hAnsi="宋体" w:eastAsia="宋体" w:cs="宋体"/>
                      <w:bCs/>
                      <w:iCs/>
                      <w:spacing w:val="10"/>
                      <w:sz w:val="18"/>
                      <w:szCs w:val="18"/>
                    </w:rPr>
                  </w:pPr>
                  <w:r>
                    <w:rPr>
                      <w:rFonts w:hint="eastAsia" w:hAnsi="宋体" w:eastAsia="宋体" w:cs="宋体"/>
                      <w:sz w:val="18"/>
                      <w:szCs w:val="18"/>
                    </w:rPr>
                    <w:t>国际金融政策、跨国人才流动政策和国际投资政策</w:t>
                  </w:r>
                  <w:r>
                    <w:rPr>
                      <w:rFonts w:hint="eastAsia" w:hAnsi="宋体" w:eastAsia="宋体" w:cs="宋体"/>
                      <w:bCs/>
                      <w:iCs/>
                      <w:spacing w:val="10"/>
                      <w:sz w:val="18"/>
                      <w:szCs w:val="18"/>
                    </w:rPr>
                    <w:t>组合工具实施</w:t>
                  </w:r>
                </w:p>
              </w:tc>
              <w:tc>
                <w:tcPr>
                  <w:tcW w:w="1161" w:type="dxa"/>
                  <w:vMerge w:val="continue"/>
                  <w:vAlign w:val="center"/>
                </w:tcPr>
                <w:p w14:paraId="5B53B1E5">
                  <w:pPr>
                    <w:pStyle w:val="6"/>
                    <w:jc w:val="center"/>
                    <w:rPr>
                      <w:rFonts w:hAnsi="宋体" w:eastAsia="宋体" w:cs="宋体"/>
                      <w:sz w:val="18"/>
                      <w:szCs w:val="18"/>
                    </w:rPr>
                  </w:pPr>
                </w:p>
              </w:tc>
            </w:tr>
            <w:tr w14:paraId="5776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767D5915">
                  <w:pPr>
                    <w:pStyle w:val="6"/>
                    <w:rPr>
                      <w:rFonts w:hAnsi="宋体" w:eastAsia="宋体" w:cs="宋体"/>
                      <w:sz w:val="18"/>
                      <w:szCs w:val="18"/>
                    </w:rPr>
                  </w:pPr>
                </w:p>
              </w:tc>
              <w:tc>
                <w:tcPr>
                  <w:tcW w:w="1042" w:type="dxa"/>
                  <w:vMerge w:val="continue"/>
                  <w:vAlign w:val="center"/>
                </w:tcPr>
                <w:p w14:paraId="6A750F52">
                  <w:pPr>
                    <w:pStyle w:val="6"/>
                    <w:rPr>
                      <w:rFonts w:hAnsi="宋体" w:eastAsia="宋体" w:cs="宋体"/>
                      <w:sz w:val="18"/>
                      <w:szCs w:val="18"/>
                    </w:rPr>
                  </w:pPr>
                </w:p>
              </w:tc>
              <w:tc>
                <w:tcPr>
                  <w:tcW w:w="3098" w:type="dxa"/>
                  <w:vAlign w:val="center"/>
                </w:tcPr>
                <w:p w14:paraId="627DA0EC">
                  <w:pPr>
                    <w:pStyle w:val="6"/>
                    <w:rPr>
                      <w:rFonts w:hAnsi="宋体" w:eastAsia="宋体" w:cs="宋体"/>
                      <w:bCs/>
                      <w:iCs/>
                      <w:spacing w:val="10"/>
                      <w:sz w:val="18"/>
                      <w:szCs w:val="18"/>
                    </w:rPr>
                  </w:pPr>
                  <w:r>
                    <w:rPr>
                      <w:rFonts w:hint="eastAsia" w:hAnsi="宋体" w:eastAsia="宋体" w:cs="宋体"/>
                      <w:bCs/>
                      <w:iCs/>
                      <w:spacing w:val="10"/>
                      <w:sz w:val="18"/>
                      <w:szCs w:val="18"/>
                    </w:rPr>
                    <w:t>根据每一年资本、劳动力要素国际间流动结果调整政策</w:t>
                  </w:r>
                </w:p>
              </w:tc>
              <w:tc>
                <w:tcPr>
                  <w:tcW w:w="1161" w:type="dxa"/>
                  <w:vMerge w:val="continue"/>
                  <w:vAlign w:val="center"/>
                </w:tcPr>
                <w:p w14:paraId="1D360F08">
                  <w:pPr>
                    <w:pStyle w:val="6"/>
                    <w:jc w:val="center"/>
                    <w:rPr>
                      <w:rFonts w:hAnsi="宋体" w:eastAsia="宋体" w:cs="宋体"/>
                      <w:sz w:val="18"/>
                      <w:szCs w:val="18"/>
                    </w:rPr>
                  </w:pPr>
                </w:p>
              </w:tc>
            </w:tr>
            <w:tr w14:paraId="6104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57D0B330">
                  <w:pPr>
                    <w:pStyle w:val="6"/>
                    <w:rPr>
                      <w:rFonts w:hAnsi="宋体" w:eastAsia="宋体" w:cs="宋体"/>
                      <w:sz w:val="18"/>
                      <w:szCs w:val="18"/>
                    </w:rPr>
                  </w:pPr>
                </w:p>
              </w:tc>
              <w:tc>
                <w:tcPr>
                  <w:tcW w:w="1042" w:type="dxa"/>
                  <w:vMerge w:val="continue"/>
                  <w:vAlign w:val="center"/>
                </w:tcPr>
                <w:p w14:paraId="0E268D21">
                  <w:pPr>
                    <w:pStyle w:val="6"/>
                    <w:rPr>
                      <w:rFonts w:hAnsi="宋体" w:eastAsia="宋体" w:cs="宋体"/>
                      <w:sz w:val="18"/>
                      <w:szCs w:val="18"/>
                    </w:rPr>
                  </w:pPr>
                </w:p>
              </w:tc>
              <w:tc>
                <w:tcPr>
                  <w:tcW w:w="3098" w:type="dxa"/>
                  <w:vAlign w:val="center"/>
                </w:tcPr>
                <w:p w14:paraId="63456DDD">
                  <w:pPr>
                    <w:pStyle w:val="6"/>
                    <w:rPr>
                      <w:rFonts w:hAnsi="宋体" w:eastAsia="宋体" w:cs="宋体"/>
                      <w:bCs/>
                      <w:iCs/>
                      <w:spacing w:val="10"/>
                      <w:sz w:val="18"/>
                      <w:szCs w:val="18"/>
                    </w:rPr>
                  </w:pPr>
                  <w:r>
                    <w:rPr>
                      <w:rFonts w:hint="eastAsia" w:hAnsi="宋体" w:eastAsia="宋体" w:cs="宋体"/>
                      <w:bCs/>
                      <w:iCs/>
                      <w:spacing w:val="10"/>
                      <w:sz w:val="18"/>
                      <w:szCs w:val="18"/>
                    </w:rPr>
                    <w:t>检查国际直接投资是否实现了当初预定的目标</w:t>
                  </w:r>
                </w:p>
              </w:tc>
              <w:tc>
                <w:tcPr>
                  <w:tcW w:w="1161" w:type="dxa"/>
                  <w:vMerge w:val="continue"/>
                  <w:vAlign w:val="center"/>
                </w:tcPr>
                <w:p w14:paraId="35F644FC">
                  <w:pPr>
                    <w:pStyle w:val="6"/>
                    <w:jc w:val="center"/>
                    <w:rPr>
                      <w:rFonts w:hAnsi="宋体" w:eastAsia="宋体" w:cs="宋体"/>
                      <w:sz w:val="18"/>
                      <w:szCs w:val="18"/>
                    </w:rPr>
                  </w:pPr>
                </w:p>
              </w:tc>
            </w:tr>
            <w:tr w14:paraId="66A8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2CE568C7">
                  <w:pPr>
                    <w:pStyle w:val="6"/>
                    <w:rPr>
                      <w:rFonts w:hAnsi="宋体" w:eastAsia="宋体" w:cs="宋体"/>
                      <w:sz w:val="18"/>
                      <w:szCs w:val="18"/>
                    </w:rPr>
                  </w:pPr>
                </w:p>
              </w:tc>
              <w:tc>
                <w:tcPr>
                  <w:tcW w:w="1042" w:type="dxa"/>
                  <w:vMerge w:val="restart"/>
                  <w:vAlign w:val="center"/>
                </w:tcPr>
                <w:p w14:paraId="04D0D698">
                  <w:pPr>
                    <w:pStyle w:val="6"/>
                    <w:rPr>
                      <w:rFonts w:hAnsi="宋体" w:eastAsia="宋体" w:cs="宋体"/>
                      <w:sz w:val="18"/>
                      <w:szCs w:val="18"/>
                    </w:rPr>
                  </w:pPr>
                  <w:r>
                    <w:rPr>
                      <w:rFonts w:hint="eastAsia" w:hAnsi="宋体" w:eastAsia="宋体" w:cs="宋体"/>
                      <w:sz w:val="18"/>
                      <w:szCs w:val="18"/>
                    </w:rPr>
                    <w:t>实验总结</w:t>
                  </w:r>
                </w:p>
              </w:tc>
              <w:tc>
                <w:tcPr>
                  <w:tcW w:w="3098" w:type="dxa"/>
                  <w:vAlign w:val="center"/>
                </w:tcPr>
                <w:p w14:paraId="6CCBC8EB">
                  <w:pPr>
                    <w:pStyle w:val="6"/>
                    <w:rPr>
                      <w:rFonts w:hAnsi="宋体" w:eastAsia="宋体" w:cs="宋体"/>
                      <w:bCs/>
                      <w:iCs/>
                      <w:spacing w:val="10"/>
                      <w:sz w:val="18"/>
                      <w:szCs w:val="18"/>
                    </w:rPr>
                  </w:pPr>
                  <w:r>
                    <w:rPr>
                      <w:rFonts w:hint="eastAsia" w:hAnsi="宋体" w:eastAsia="宋体" w:cs="宋体"/>
                      <w:bCs/>
                      <w:iCs/>
                      <w:spacing w:val="10"/>
                      <w:sz w:val="18"/>
                      <w:szCs w:val="18"/>
                    </w:rPr>
                    <w:t>总结政府调控国际资本要素、劳动要素流动常用且有效的政策组合</w:t>
                  </w:r>
                </w:p>
              </w:tc>
              <w:tc>
                <w:tcPr>
                  <w:tcW w:w="1161" w:type="dxa"/>
                  <w:vMerge w:val="continue"/>
                  <w:vAlign w:val="center"/>
                </w:tcPr>
                <w:p w14:paraId="7A5AB9D3">
                  <w:pPr>
                    <w:pStyle w:val="6"/>
                    <w:jc w:val="center"/>
                    <w:rPr>
                      <w:rFonts w:hAnsi="宋体" w:eastAsia="宋体" w:cs="宋体"/>
                      <w:sz w:val="18"/>
                      <w:szCs w:val="18"/>
                    </w:rPr>
                  </w:pPr>
                </w:p>
              </w:tc>
            </w:tr>
            <w:tr w14:paraId="68C3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01C799A0">
                  <w:pPr>
                    <w:pStyle w:val="6"/>
                    <w:rPr>
                      <w:rFonts w:hAnsi="宋体" w:eastAsia="宋体" w:cs="宋体"/>
                      <w:sz w:val="18"/>
                      <w:szCs w:val="18"/>
                    </w:rPr>
                  </w:pPr>
                </w:p>
              </w:tc>
              <w:tc>
                <w:tcPr>
                  <w:tcW w:w="1042" w:type="dxa"/>
                  <w:vMerge w:val="continue"/>
                  <w:vAlign w:val="center"/>
                </w:tcPr>
                <w:p w14:paraId="3C8A4BF1">
                  <w:pPr>
                    <w:pStyle w:val="6"/>
                    <w:rPr>
                      <w:rFonts w:hAnsi="宋体" w:eastAsia="宋体" w:cs="宋体"/>
                      <w:sz w:val="18"/>
                      <w:szCs w:val="18"/>
                    </w:rPr>
                  </w:pPr>
                </w:p>
              </w:tc>
              <w:tc>
                <w:tcPr>
                  <w:tcW w:w="3098" w:type="dxa"/>
                  <w:vAlign w:val="center"/>
                </w:tcPr>
                <w:p w14:paraId="63BECB85">
                  <w:pPr>
                    <w:pStyle w:val="6"/>
                    <w:rPr>
                      <w:rFonts w:hAnsi="宋体" w:eastAsia="宋体" w:cs="宋体"/>
                      <w:bCs/>
                      <w:iCs/>
                      <w:spacing w:val="10"/>
                      <w:sz w:val="18"/>
                      <w:szCs w:val="18"/>
                    </w:rPr>
                  </w:pPr>
                  <w:r>
                    <w:rPr>
                      <w:rFonts w:hint="eastAsia" w:hAnsi="宋体" w:eastAsia="宋体" w:cs="宋体"/>
                      <w:bCs/>
                      <w:iCs/>
                      <w:spacing w:val="10"/>
                      <w:sz w:val="18"/>
                      <w:szCs w:val="18"/>
                    </w:rPr>
                    <w:t>总结国际直接投资在实验中的效果</w:t>
                  </w:r>
                </w:p>
              </w:tc>
              <w:tc>
                <w:tcPr>
                  <w:tcW w:w="1161" w:type="dxa"/>
                  <w:vMerge w:val="continue"/>
                  <w:vAlign w:val="center"/>
                </w:tcPr>
                <w:p w14:paraId="6B2FE81D">
                  <w:pPr>
                    <w:pStyle w:val="6"/>
                    <w:jc w:val="center"/>
                    <w:rPr>
                      <w:rFonts w:hAnsi="宋体" w:eastAsia="宋体" w:cs="宋体"/>
                      <w:sz w:val="18"/>
                      <w:szCs w:val="18"/>
                    </w:rPr>
                  </w:pPr>
                </w:p>
              </w:tc>
            </w:tr>
            <w:tr w14:paraId="0B0A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vMerge w:val="continue"/>
                  <w:vAlign w:val="center"/>
                </w:tcPr>
                <w:p w14:paraId="6DC5B182">
                  <w:pPr>
                    <w:pStyle w:val="6"/>
                    <w:rPr>
                      <w:rFonts w:hAnsi="宋体" w:eastAsia="宋体" w:cs="宋体"/>
                      <w:sz w:val="18"/>
                      <w:szCs w:val="18"/>
                    </w:rPr>
                  </w:pPr>
                </w:p>
              </w:tc>
              <w:tc>
                <w:tcPr>
                  <w:tcW w:w="1042" w:type="dxa"/>
                  <w:vMerge w:val="continue"/>
                  <w:vAlign w:val="center"/>
                </w:tcPr>
                <w:p w14:paraId="4AC447B9">
                  <w:pPr>
                    <w:pStyle w:val="6"/>
                    <w:rPr>
                      <w:rFonts w:hAnsi="宋体" w:eastAsia="宋体" w:cs="宋体"/>
                      <w:sz w:val="18"/>
                      <w:szCs w:val="18"/>
                    </w:rPr>
                  </w:pPr>
                </w:p>
              </w:tc>
              <w:tc>
                <w:tcPr>
                  <w:tcW w:w="3098" w:type="dxa"/>
                  <w:vAlign w:val="center"/>
                </w:tcPr>
                <w:p w14:paraId="58FA5CB9">
                  <w:pPr>
                    <w:pStyle w:val="6"/>
                    <w:rPr>
                      <w:rFonts w:hAnsi="宋体" w:eastAsia="宋体" w:cs="宋体"/>
                      <w:bCs/>
                      <w:iCs/>
                      <w:spacing w:val="10"/>
                      <w:sz w:val="18"/>
                      <w:szCs w:val="18"/>
                    </w:rPr>
                  </w:pPr>
                  <w:r>
                    <w:rPr>
                      <w:rFonts w:hint="eastAsia" w:hAnsi="宋体" w:eastAsia="宋体" w:cs="宋体"/>
                      <w:bCs/>
                      <w:iCs/>
                      <w:spacing w:val="10"/>
                      <w:sz w:val="18"/>
                      <w:szCs w:val="18"/>
                    </w:rPr>
                    <w:t>总结导致不同国际要素流动原因及后果</w:t>
                  </w:r>
                </w:p>
              </w:tc>
              <w:tc>
                <w:tcPr>
                  <w:tcW w:w="1161" w:type="dxa"/>
                  <w:vMerge w:val="continue"/>
                  <w:vAlign w:val="center"/>
                </w:tcPr>
                <w:p w14:paraId="7D49CD47">
                  <w:pPr>
                    <w:pStyle w:val="6"/>
                    <w:jc w:val="center"/>
                    <w:rPr>
                      <w:rFonts w:hAnsi="宋体" w:eastAsia="宋体" w:cs="宋体"/>
                      <w:sz w:val="18"/>
                      <w:szCs w:val="18"/>
                    </w:rPr>
                  </w:pPr>
                </w:p>
              </w:tc>
            </w:tr>
          </w:tbl>
          <w:p w14:paraId="69422F4D">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06437856">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分析目前盘面的资本、劳动流动情况</w:t>
            </w:r>
          </w:p>
          <w:p w14:paraId="51B4B210">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判断盘面上国际间资本、劳动存在的问题</w:t>
            </w:r>
          </w:p>
          <w:p w14:paraId="610DA907">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制定资本、劳动力的国际流动规则</w:t>
            </w:r>
          </w:p>
          <w:p w14:paraId="23841A04">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制定国际金融政策、跨国人才流动政策</w:t>
            </w:r>
          </w:p>
          <w:p w14:paraId="37EF3A47">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分析跨国直接投资对国际贸易的影响，并制定跨国直接投资规则</w:t>
            </w:r>
          </w:p>
          <w:p w14:paraId="1DEE6B91">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引导厂商建立跨国公司</w:t>
            </w:r>
          </w:p>
          <w:p w14:paraId="0E260A88">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分析本期跨国直接投资是否达到预期运营目标</w:t>
            </w:r>
          </w:p>
          <w:p w14:paraId="606D875F">
            <w:pPr>
              <w:ind w:firstLine="527" w:firstLineChars="250"/>
              <w:rPr>
                <w:rFonts w:ascii="宋体" w:hAnsi="宋体" w:eastAsia="宋体" w:cs="宋体"/>
                <w:b/>
                <w:szCs w:val="21"/>
              </w:rPr>
            </w:pPr>
            <w:r>
              <w:rPr>
                <w:rFonts w:hint="eastAsia" w:ascii="宋体" w:hAnsi="宋体" w:eastAsia="宋体" w:cs="宋体"/>
                <w:b/>
                <w:szCs w:val="21"/>
              </w:rPr>
              <w:t>2）实验成果</w:t>
            </w:r>
          </w:p>
          <w:p w14:paraId="40543406">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在开放经济下资本、劳动力流动效果评估报告</w:t>
            </w:r>
          </w:p>
          <w:p w14:paraId="5A2D746A">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国际直接投资在全球经济中的应用分析</w:t>
            </w:r>
          </w:p>
          <w:p w14:paraId="6E16AE8B">
            <w:pPr>
              <w:numPr>
                <w:ilvl w:val="3"/>
                <w:numId w:val="8"/>
              </w:numPr>
              <w:rPr>
                <w:rFonts w:ascii="宋体" w:hAnsi="宋体" w:eastAsia="宋体" w:cs="宋体"/>
                <w:b/>
                <w:color w:val="000000"/>
                <w:kern w:val="0"/>
                <w:szCs w:val="21"/>
              </w:rPr>
            </w:pPr>
            <w:bookmarkStart w:id="8" w:name="_Toc21148"/>
            <w:r>
              <w:rPr>
                <w:rFonts w:hint="eastAsia" w:ascii="宋体" w:hAnsi="宋体" w:eastAsia="宋体" w:cs="宋体"/>
                <w:b/>
                <w:color w:val="000000"/>
                <w:kern w:val="0"/>
                <w:szCs w:val="21"/>
              </w:rPr>
              <w:t>汇率决定与开放经济的宏观政策实验</w:t>
            </w:r>
            <w:bookmarkEnd w:id="8"/>
          </w:p>
          <w:p w14:paraId="56E5583B">
            <w:pPr>
              <w:jc w:val="center"/>
              <w:rPr>
                <w:rFonts w:ascii="宋体" w:hAnsi="宋体" w:eastAsia="宋体" w:cs="宋体"/>
                <w:szCs w:val="21"/>
              </w:rPr>
            </w:pPr>
            <w:r>
              <w:rPr>
                <w:rFonts w:hint="eastAsia" w:ascii="宋体" w:hAnsi="宋体" w:eastAsia="宋体" w:cs="宋体"/>
                <w:szCs w:val="21"/>
              </w:rPr>
              <w:t>表7  汇率决定与开放经济的宏观政策实验项目</w:t>
            </w:r>
          </w:p>
          <w:tbl>
            <w:tblPr>
              <w:tblStyle w:val="12"/>
              <w:tblW w:w="6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53"/>
              <w:gridCol w:w="2887"/>
              <w:gridCol w:w="1244"/>
            </w:tblGrid>
            <w:tr w14:paraId="14FC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blHeader/>
                <w:jc w:val="center"/>
              </w:trPr>
              <w:tc>
                <w:tcPr>
                  <w:tcW w:w="1014" w:type="dxa"/>
                  <w:shd w:val="clear" w:color="auto" w:fill="E6E6E6"/>
                  <w:vAlign w:val="center"/>
                </w:tcPr>
                <w:p w14:paraId="1B6BC43A">
                  <w:pPr>
                    <w:pStyle w:val="6"/>
                    <w:jc w:val="center"/>
                    <w:rPr>
                      <w:rFonts w:hAnsi="宋体" w:eastAsia="宋体" w:cs="宋体"/>
                      <w:sz w:val="18"/>
                      <w:szCs w:val="18"/>
                    </w:rPr>
                  </w:pPr>
                  <w:r>
                    <w:rPr>
                      <w:rFonts w:hint="eastAsia" w:hAnsi="宋体" w:eastAsia="宋体" w:cs="宋体"/>
                      <w:sz w:val="18"/>
                      <w:szCs w:val="18"/>
                    </w:rPr>
                    <w:t>一级模块</w:t>
                  </w:r>
                </w:p>
              </w:tc>
              <w:tc>
                <w:tcPr>
                  <w:tcW w:w="1053" w:type="dxa"/>
                  <w:shd w:val="clear" w:color="auto" w:fill="E6E6E6"/>
                  <w:vAlign w:val="center"/>
                </w:tcPr>
                <w:p w14:paraId="045EA62B">
                  <w:pPr>
                    <w:pStyle w:val="6"/>
                    <w:jc w:val="center"/>
                    <w:rPr>
                      <w:rFonts w:hAnsi="宋体" w:eastAsia="宋体" w:cs="宋体"/>
                      <w:sz w:val="18"/>
                      <w:szCs w:val="18"/>
                    </w:rPr>
                  </w:pPr>
                  <w:r>
                    <w:rPr>
                      <w:rFonts w:hint="eastAsia" w:hAnsi="宋体" w:eastAsia="宋体" w:cs="宋体"/>
                      <w:sz w:val="18"/>
                      <w:szCs w:val="18"/>
                    </w:rPr>
                    <w:t>二级模块</w:t>
                  </w:r>
                </w:p>
              </w:tc>
              <w:tc>
                <w:tcPr>
                  <w:tcW w:w="2887" w:type="dxa"/>
                  <w:shd w:val="clear" w:color="auto" w:fill="E6E6E6"/>
                  <w:vAlign w:val="center"/>
                </w:tcPr>
                <w:p w14:paraId="1E22839C">
                  <w:pPr>
                    <w:pStyle w:val="6"/>
                    <w:jc w:val="center"/>
                    <w:rPr>
                      <w:rFonts w:hAnsi="宋体" w:eastAsia="宋体" w:cs="宋体"/>
                      <w:sz w:val="18"/>
                      <w:szCs w:val="18"/>
                    </w:rPr>
                  </w:pPr>
                  <w:r>
                    <w:rPr>
                      <w:rFonts w:hint="eastAsia" w:hAnsi="宋体" w:eastAsia="宋体" w:cs="宋体"/>
                      <w:sz w:val="18"/>
                      <w:szCs w:val="18"/>
                    </w:rPr>
                    <w:t>实验项目名称</w:t>
                  </w:r>
                </w:p>
              </w:tc>
              <w:tc>
                <w:tcPr>
                  <w:tcW w:w="1244" w:type="dxa"/>
                  <w:shd w:val="clear" w:color="auto" w:fill="E6E6E6"/>
                  <w:vAlign w:val="center"/>
                </w:tcPr>
                <w:p w14:paraId="36BCA6B6">
                  <w:pPr>
                    <w:pStyle w:val="6"/>
                    <w:jc w:val="center"/>
                    <w:rPr>
                      <w:rFonts w:hAnsi="宋体" w:eastAsia="宋体" w:cs="宋体"/>
                      <w:sz w:val="18"/>
                      <w:szCs w:val="18"/>
                    </w:rPr>
                  </w:pPr>
                  <w:r>
                    <w:rPr>
                      <w:rFonts w:hint="eastAsia" w:hAnsi="宋体" w:eastAsia="宋体" w:cs="宋体"/>
                      <w:sz w:val="18"/>
                      <w:szCs w:val="18"/>
                    </w:rPr>
                    <w:t>涉及知识点</w:t>
                  </w:r>
                </w:p>
              </w:tc>
            </w:tr>
            <w:tr w14:paraId="1421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14" w:type="dxa"/>
                  <w:vMerge w:val="restart"/>
                  <w:vAlign w:val="center"/>
                </w:tcPr>
                <w:p w14:paraId="57FA6FCD">
                  <w:pPr>
                    <w:pStyle w:val="6"/>
                    <w:rPr>
                      <w:rFonts w:hAnsi="宋体" w:eastAsia="宋体" w:cs="宋体"/>
                      <w:sz w:val="18"/>
                      <w:szCs w:val="18"/>
                    </w:rPr>
                  </w:pPr>
                  <w:r>
                    <w:rPr>
                      <w:rFonts w:hint="eastAsia" w:hAnsi="宋体" w:eastAsia="宋体" w:cs="宋体"/>
                      <w:sz w:val="18"/>
                      <w:szCs w:val="18"/>
                    </w:rPr>
                    <w:t>汇率决定与开放经济的宏观政策实验</w:t>
                  </w:r>
                </w:p>
              </w:tc>
              <w:tc>
                <w:tcPr>
                  <w:tcW w:w="1053" w:type="dxa"/>
                  <w:vMerge w:val="restart"/>
                  <w:vAlign w:val="center"/>
                </w:tcPr>
                <w:p w14:paraId="3F774424">
                  <w:pPr>
                    <w:pStyle w:val="6"/>
                    <w:rPr>
                      <w:rFonts w:hAnsi="宋体" w:eastAsia="宋体" w:cs="宋体"/>
                      <w:sz w:val="18"/>
                      <w:szCs w:val="18"/>
                    </w:rPr>
                  </w:pPr>
                  <w:r>
                    <w:rPr>
                      <w:rFonts w:hint="eastAsia" w:hAnsi="宋体" w:eastAsia="宋体" w:cs="宋体"/>
                      <w:sz w:val="18"/>
                      <w:szCs w:val="18"/>
                    </w:rPr>
                    <w:t>导入培训</w:t>
                  </w:r>
                </w:p>
              </w:tc>
              <w:tc>
                <w:tcPr>
                  <w:tcW w:w="2887" w:type="dxa"/>
                  <w:vAlign w:val="center"/>
                </w:tcPr>
                <w:p w14:paraId="47140CFA">
                  <w:pPr>
                    <w:pStyle w:val="6"/>
                    <w:rPr>
                      <w:rFonts w:hAnsi="宋体" w:eastAsia="宋体" w:cs="宋体"/>
                      <w:sz w:val="18"/>
                      <w:szCs w:val="18"/>
                    </w:rPr>
                  </w:pPr>
                  <w:r>
                    <w:rPr>
                      <w:rFonts w:hint="eastAsia" w:hAnsi="宋体" w:eastAsia="宋体" w:cs="宋体"/>
                      <w:sz w:val="18"/>
                      <w:szCs w:val="18"/>
                    </w:rPr>
                    <w:t>开放经济下的宏观经济政策</w:t>
                  </w:r>
                </w:p>
              </w:tc>
              <w:tc>
                <w:tcPr>
                  <w:tcW w:w="1244" w:type="dxa"/>
                  <w:vMerge w:val="restart"/>
                  <w:vAlign w:val="center"/>
                </w:tcPr>
                <w:p w14:paraId="1D5C28AE">
                  <w:pPr>
                    <w:pStyle w:val="6"/>
                    <w:jc w:val="center"/>
                    <w:rPr>
                      <w:rFonts w:hAnsi="宋体" w:eastAsia="宋体" w:cs="宋体"/>
                      <w:sz w:val="18"/>
                      <w:szCs w:val="18"/>
                    </w:rPr>
                  </w:pPr>
                  <w:r>
                    <w:rPr>
                      <w:rFonts w:hint="eastAsia" w:hAnsi="宋体" w:eastAsia="宋体" w:cs="宋体"/>
                      <w:sz w:val="18"/>
                      <w:szCs w:val="18"/>
                    </w:rPr>
                    <w:t xml:space="preserve"> 购买力平价理论</w:t>
                  </w:r>
                </w:p>
                <w:p w14:paraId="495631EE">
                  <w:pPr>
                    <w:pStyle w:val="6"/>
                    <w:jc w:val="center"/>
                    <w:rPr>
                      <w:rFonts w:hAnsi="宋体" w:eastAsia="宋体" w:cs="宋体"/>
                      <w:sz w:val="18"/>
                      <w:szCs w:val="18"/>
                    </w:rPr>
                  </w:pPr>
                  <w:r>
                    <w:rPr>
                      <w:rFonts w:hint="eastAsia" w:hAnsi="宋体" w:eastAsia="宋体" w:cs="宋体"/>
                      <w:sz w:val="18"/>
                      <w:szCs w:val="18"/>
                    </w:rPr>
                    <w:t xml:space="preserve"> 丁伯根法则</w:t>
                  </w:r>
                </w:p>
                <w:p w14:paraId="6AE79CD4">
                  <w:pPr>
                    <w:pStyle w:val="6"/>
                    <w:jc w:val="center"/>
                    <w:rPr>
                      <w:rFonts w:hAnsi="宋体" w:eastAsia="宋体" w:cs="宋体"/>
                      <w:sz w:val="18"/>
                      <w:szCs w:val="18"/>
                    </w:rPr>
                  </w:pPr>
                  <w:r>
                    <w:rPr>
                      <w:rFonts w:hint="eastAsia" w:hAnsi="宋体" w:eastAsia="宋体" w:cs="宋体"/>
                      <w:sz w:val="18"/>
                      <w:szCs w:val="18"/>
                    </w:rPr>
                    <w:t>内外平衡理论</w:t>
                  </w:r>
                </w:p>
                <w:p w14:paraId="43A5558C">
                  <w:pPr>
                    <w:pStyle w:val="6"/>
                    <w:jc w:val="center"/>
                    <w:rPr>
                      <w:rFonts w:hAnsi="宋体" w:eastAsia="宋体" w:cs="宋体"/>
                      <w:sz w:val="18"/>
                      <w:szCs w:val="18"/>
                    </w:rPr>
                  </w:pPr>
                  <w:r>
                    <w:rPr>
                      <w:rFonts w:hint="eastAsia" w:hAnsi="宋体" w:eastAsia="宋体" w:cs="宋体"/>
                      <w:sz w:val="18"/>
                      <w:szCs w:val="18"/>
                    </w:rPr>
                    <w:t xml:space="preserve">政策配合论                                                                                                                                                                                                                                                                                                                                                                                                                                                                                                                                                                                                                                                                                                                                                                                                                                                                                                                                                                                                                                                                                                                                                                                                                                                                                                                                                                                                                                                                                                                                                                                                                                                                                                                                                                                                                                                                                                                                                                                                                                                                                                    </w:t>
                  </w:r>
                </w:p>
                <w:p w14:paraId="62346ABE">
                  <w:pPr>
                    <w:pStyle w:val="6"/>
                    <w:jc w:val="center"/>
                    <w:rPr>
                      <w:rFonts w:hAnsi="宋体" w:eastAsia="宋体" w:cs="宋体"/>
                      <w:sz w:val="18"/>
                      <w:szCs w:val="18"/>
                    </w:rPr>
                  </w:pPr>
                  <w:r>
                    <w:rPr>
                      <w:rFonts w:hint="eastAsia" w:hAnsi="宋体" w:eastAsia="宋体" w:cs="宋体"/>
                      <w:sz w:val="18"/>
                      <w:szCs w:val="18"/>
                    </w:rPr>
                    <w:t>开放经济条件下宏观经济模型（IS-LM-BP模型）</w:t>
                  </w:r>
                </w:p>
                <w:p w14:paraId="62D2D6AE">
                  <w:pPr>
                    <w:pStyle w:val="6"/>
                    <w:jc w:val="center"/>
                    <w:rPr>
                      <w:rFonts w:hAnsi="宋体" w:eastAsia="宋体" w:cs="宋体"/>
                      <w:sz w:val="18"/>
                      <w:szCs w:val="18"/>
                    </w:rPr>
                  </w:pPr>
                  <w:r>
                    <w:rPr>
                      <w:rFonts w:hint="eastAsia" w:hAnsi="宋体" w:eastAsia="宋体" w:cs="宋体"/>
                      <w:sz w:val="18"/>
                      <w:szCs w:val="18"/>
                    </w:rPr>
                    <w:t>固定汇率制与浮动汇率制下宏观经济政策效果</w:t>
                  </w:r>
                </w:p>
                <w:p w14:paraId="637C11E2">
                  <w:pPr>
                    <w:pStyle w:val="6"/>
                    <w:jc w:val="center"/>
                    <w:rPr>
                      <w:rFonts w:hAnsi="宋体" w:eastAsia="宋体" w:cs="宋体"/>
                      <w:sz w:val="18"/>
                      <w:szCs w:val="18"/>
                    </w:rPr>
                  </w:pPr>
                  <w:r>
                    <w:rPr>
                      <w:rFonts w:hint="eastAsia" w:hAnsi="宋体" w:eastAsia="宋体" w:cs="宋体"/>
                      <w:sz w:val="18"/>
                      <w:szCs w:val="18"/>
                    </w:rPr>
                    <w:t>蒙代尔的“三元悖论”</w:t>
                  </w:r>
                </w:p>
              </w:tc>
            </w:tr>
            <w:tr w14:paraId="6B08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14" w:type="dxa"/>
                  <w:vMerge w:val="continue"/>
                  <w:vAlign w:val="center"/>
                </w:tcPr>
                <w:p w14:paraId="19C816D6">
                  <w:pPr>
                    <w:pStyle w:val="6"/>
                    <w:rPr>
                      <w:rFonts w:hAnsi="宋体" w:eastAsia="宋体" w:cs="宋体"/>
                      <w:sz w:val="18"/>
                      <w:szCs w:val="18"/>
                    </w:rPr>
                  </w:pPr>
                </w:p>
              </w:tc>
              <w:tc>
                <w:tcPr>
                  <w:tcW w:w="1053" w:type="dxa"/>
                  <w:vMerge w:val="continue"/>
                  <w:vAlign w:val="center"/>
                </w:tcPr>
                <w:p w14:paraId="49DEDE4E">
                  <w:pPr>
                    <w:pStyle w:val="6"/>
                    <w:rPr>
                      <w:rFonts w:hAnsi="宋体" w:eastAsia="宋体" w:cs="宋体"/>
                      <w:sz w:val="18"/>
                      <w:szCs w:val="18"/>
                    </w:rPr>
                  </w:pPr>
                </w:p>
              </w:tc>
              <w:tc>
                <w:tcPr>
                  <w:tcW w:w="2887" w:type="dxa"/>
                  <w:vAlign w:val="center"/>
                </w:tcPr>
                <w:p w14:paraId="136A495E">
                  <w:pPr>
                    <w:pStyle w:val="6"/>
                    <w:rPr>
                      <w:rFonts w:hAnsi="宋体" w:eastAsia="宋体" w:cs="宋体"/>
                      <w:bCs/>
                      <w:iCs/>
                      <w:spacing w:val="10"/>
                      <w:sz w:val="18"/>
                      <w:szCs w:val="18"/>
                    </w:rPr>
                  </w:pPr>
                  <w:r>
                    <w:rPr>
                      <w:rFonts w:hint="eastAsia" w:hAnsi="宋体" w:eastAsia="宋体" w:cs="宋体"/>
                      <w:bCs/>
                      <w:iCs/>
                      <w:spacing w:val="10"/>
                      <w:sz w:val="18"/>
                      <w:szCs w:val="18"/>
                    </w:rPr>
                    <w:t>汇率制定及相关理论</w:t>
                  </w:r>
                </w:p>
              </w:tc>
              <w:tc>
                <w:tcPr>
                  <w:tcW w:w="1244" w:type="dxa"/>
                  <w:vMerge w:val="continue"/>
                  <w:vAlign w:val="center"/>
                </w:tcPr>
                <w:p w14:paraId="7B2FDAFE">
                  <w:pPr>
                    <w:pStyle w:val="6"/>
                    <w:jc w:val="center"/>
                    <w:rPr>
                      <w:rFonts w:hAnsi="宋体" w:eastAsia="宋体" w:cs="宋体"/>
                      <w:sz w:val="18"/>
                      <w:szCs w:val="18"/>
                    </w:rPr>
                  </w:pPr>
                </w:p>
              </w:tc>
            </w:tr>
            <w:tr w14:paraId="6C5F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Merge w:val="continue"/>
                  <w:vAlign w:val="center"/>
                </w:tcPr>
                <w:p w14:paraId="04EAFD5D">
                  <w:pPr>
                    <w:pStyle w:val="6"/>
                    <w:rPr>
                      <w:rFonts w:hAnsi="宋体" w:eastAsia="宋体" w:cs="宋体"/>
                      <w:sz w:val="18"/>
                      <w:szCs w:val="18"/>
                    </w:rPr>
                  </w:pPr>
                </w:p>
              </w:tc>
              <w:tc>
                <w:tcPr>
                  <w:tcW w:w="1053" w:type="dxa"/>
                  <w:vMerge w:val="continue"/>
                  <w:vAlign w:val="center"/>
                </w:tcPr>
                <w:p w14:paraId="73BB5BFA">
                  <w:pPr>
                    <w:pStyle w:val="6"/>
                    <w:rPr>
                      <w:rFonts w:hAnsi="宋体" w:eastAsia="宋体" w:cs="宋体"/>
                      <w:sz w:val="18"/>
                      <w:szCs w:val="18"/>
                    </w:rPr>
                  </w:pPr>
                </w:p>
              </w:tc>
              <w:tc>
                <w:tcPr>
                  <w:tcW w:w="2887" w:type="dxa"/>
                  <w:vAlign w:val="center"/>
                </w:tcPr>
                <w:p w14:paraId="614E51BF">
                  <w:pPr>
                    <w:pStyle w:val="6"/>
                    <w:rPr>
                      <w:rFonts w:hAnsi="宋体" w:eastAsia="宋体" w:cs="宋体"/>
                      <w:bCs/>
                      <w:iCs/>
                      <w:spacing w:val="10"/>
                      <w:sz w:val="18"/>
                      <w:szCs w:val="18"/>
                    </w:rPr>
                  </w:pPr>
                  <w:r>
                    <w:rPr>
                      <w:rFonts w:hint="eastAsia" w:hAnsi="宋体" w:eastAsia="宋体" w:cs="宋体"/>
                      <w:bCs/>
                      <w:iCs/>
                      <w:spacing w:val="10"/>
                      <w:sz w:val="18"/>
                      <w:szCs w:val="18"/>
                    </w:rPr>
                    <w:t>开放经济条件下的宏观经济政策目标</w:t>
                  </w:r>
                </w:p>
              </w:tc>
              <w:tc>
                <w:tcPr>
                  <w:tcW w:w="1244" w:type="dxa"/>
                  <w:vMerge w:val="continue"/>
                  <w:vAlign w:val="center"/>
                </w:tcPr>
                <w:p w14:paraId="1B58C601">
                  <w:pPr>
                    <w:pStyle w:val="6"/>
                    <w:jc w:val="center"/>
                    <w:rPr>
                      <w:rFonts w:hAnsi="宋体" w:eastAsia="宋体" w:cs="宋体"/>
                      <w:sz w:val="18"/>
                      <w:szCs w:val="18"/>
                    </w:rPr>
                  </w:pPr>
                </w:p>
              </w:tc>
            </w:tr>
            <w:tr w14:paraId="49DB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Merge w:val="continue"/>
                  <w:vAlign w:val="center"/>
                </w:tcPr>
                <w:p w14:paraId="383303B5">
                  <w:pPr>
                    <w:pStyle w:val="6"/>
                    <w:rPr>
                      <w:rFonts w:hAnsi="宋体" w:eastAsia="宋体" w:cs="宋体"/>
                      <w:sz w:val="18"/>
                      <w:szCs w:val="18"/>
                    </w:rPr>
                  </w:pPr>
                </w:p>
              </w:tc>
              <w:tc>
                <w:tcPr>
                  <w:tcW w:w="1053" w:type="dxa"/>
                  <w:vMerge w:val="restart"/>
                  <w:vAlign w:val="center"/>
                </w:tcPr>
                <w:p w14:paraId="464AC903">
                  <w:pPr>
                    <w:pStyle w:val="6"/>
                    <w:rPr>
                      <w:rFonts w:hAnsi="宋体" w:eastAsia="宋体" w:cs="宋体"/>
                      <w:sz w:val="18"/>
                      <w:szCs w:val="18"/>
                    </w:rPr>
                  </w:pPr>
                  <w:r>
                    <w:rPr>
                      <w:rFonts w:hint="eastAsia" w:hAnsi="宋体" w:eastAsia="宋体" w:cs="宋体"/>
                      <w:sz w:val="18"/>
                      <w:szCs w:val="18"/>
                    </w:rPr>
                    <w:t>实验准备</w:t>
                  </w:r>
                </w:p>
              </w:tc>
              <w:tc>
                <w:tcPr>
                  <w:tcW w:w="2887" w:type="dxa"/>
                  <w:vAlign w:val="center"/>
                </w:tcPr>
                <w:p w14:paraId="25E84F04">
                  <w:pPr>
                    <w:pStyle w:val="6"/>
                    <w:rPr>
                      <w:rFonts w:hAnsi="宋体" w:eastAsia="宋体" w:cs="宋体"/>
                      <w:bCs/>
                      <w:iCs/>
                      <w:spacing w:val="10"/>
                      <w:sz w:val="18"/>
                      <w:szCs w:val="18"/>
                    </w:rPr>
                  </w:pPr>
                  <w:r>
                    <w:rPr>
                      <w:rFonts w:hint="eastAsia" w:hAnsi="宋体" w:eastAsia="宋体" w:cs="宋体"/>
                      <w:bCs/>
                      <w:iCs/>
                      <w:spacing w:val="10"/>
                      <w:sz w:val="18"/>
                      <w:szCs w:val="18"/>
                    </w:rPr>
                    <w:t>制定开放经济下政府调控经济的目标</w:t>
                  </w:r>
                </w:p>
              </w:tc>
              <w:tc>
                <w:tcPr>
                  <w:tcW w:w="1244" w:type="dxa"/>
                  <w:vMerge w:val="continue"/>
                  <w:vAlign w:val="center"/>
                </w:tcPr>
                <w:p w14:paraId="71B19DD4">
                  <w:pPr>
                    <w:jc w:val="center"/>
                    <w:rPr>
                      <w:rFonts w:ascii="宋体" w:hAnsi="宋体" w:eastAsia="宋体" w:cs="宋体"/>
                      <w:sz w:val="18"/>
                      <w:szCs w:val="18"/>
                    </w:rPr>
                  </w:pPr>
                </w:p>
              </w:tc>
            </w:tr>
            <w:tr w14:paraId="751C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14" w:type="dxa"/>
                  <w:vMerge w:val="continue"/>
                  <w:vAlign w:val="center"/>
                </w:tcPr>
                <w:p w14:paraId="427553C0">
                  <w:pPr>
                    <w:pStyle w:val="6"/>
                    <w:rPr>
                      <w:rFonts w:hAnsi="宋体" w:eastAsia="宋体" w:cs="宋体"/>
                      <w:sz w:val="18"/>
                      <w:szCs w:val="18"/>
                    </w:rPr>
                  </w:pPr>
                </w:p>
              </w:tc>
              <w:tc>
                <w:tcPr>
                  <w:tcW w:w="1053" w:type="dxa"/>
                  <w:vMerge w:val="continue"/>
                  <w:vAlign w:val="center"/>
                </w:tcPr>
                <w:p w14:paraId="720897FC">
                  <w:pPr>
                    <w:pStyle w:val="6"/>
                    <w:rPr>
                      <w:rFonts w:hAnsi="宋体" w:eastAsia="宋体" w:cs="宋体"/>
                      <w:sz w:val="18"/>
                      <w:szCs w:val="18"/>
                    </w:rPr>
                  </w:pPr>
                </w:p>
              </w:tc>
              <w:tc>
                <w:tcPr>
                  <w:tcW w:w="2887" w:type="dxa"/>
                  <w:vAlign w:val="center"/>
                </w:tcPr>
                <w:p w14:paraId="22236C37">
                  <w:pPr>
                    <w:pStyle w:val="6"/>
                    <w:rPr>
                      <w:rFonts w:hAnsi="宋体" w:eastAsia="宋体" w:cs="宋体"/>
                      <w:bCs/>
                      <w:iCs/>
                      <w:spacing w:val="10"/>
                      <w:sz w:val="18"/>
                      <w:szCs w:val="18"/>
                    </w:rPr>
                  </w:pPr>
                  <w:r>
                    <w:rPr>
                      <w:rFonts w:hint="eastAsia" w:hAnsi="宋体" w:eastAsia="宋体" w:cs="宋体"/>
                      <w:sz w:val="18"/>
                      <w:szCs w:val="18"/>
                    </w:rPr>
                    <w:t>设计本实验中在开放经济下不同汇率制度、财政政策和货币工具</w:t>
                  </w:r>
                </w:p>
              </w:tc>
              <w:tc>
                <w:tcPr>
                  <w:tcW w:w="1244" w:type="dxa"/>
                  <w:vMerge w:val="continue"/>
                  <w:vAlign w:val="center"/>
                </w:tcPr>
                <w:p w14:paraId="4C2F9BD8">
                  <w:pPr>
                    <w:pStyle w:val="6"/>
                    <w:jc w:val="center"/>
                    <w:rPr>
                      <w:rFonts w:hAnsi="宋体" w:eastAsia="宋体" w:cs="宋体"/>
                      <w:sz w:val="18"/>
                      <w:szCs w:val="18"/>
                    </w:rPr>
                  </w:pPr>
                </w:p>
              </w:tc>
            </w:tr>
            <w:tr w14:paraId="4811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Merge w:val="continue"/>
                  <w:vAlign w:val="center"/>
                </w:tcPr>
                <w:p w14:paraId="01A37F51">
                  <w:pPr>
                    <w:pStyle w:val="6"/>
                    <w:rPr>
                      <w:rFonts w:hAnsi="宋体" w:eastAsia="宋体" w:cs="宋体"/>
                      <w:sz w:val="18"/>
                      <w:szCs w:val="18"/>
                    </w:rPr>
                  </w:pPr>
                </w:p>
              </w:tc>
              <w:tc>
                <w:tcPr>
                  <w:tcW w:w="1053" w:type="dxa"/>
                  <w:vMerge w:val="continue"/>
                  <w:vAlign w:val="center"/>
                </w:tcPr>
                <w:p w14:paraId="7E4C614B">
                  <w:pPr>
                    <w:pStyle w:val="6"/>
                    <w:rPr>
                      <w:rFonts w:hAnsi="宋体" w:eastAsia="宋体" w:cs="宋体"/>
                      <w:sz w:val="18"/>
                      <w:szCs w:val="18"/>
                    </w:rPr>
                  </w:pPr>
                </w:p>
              </w:tc>
              <w:tc>
                <w:tcPr>
                  <w:tcW w:w="2887" w:type="dxa"/>
                  <w:vAlign w:val="center"/>
                </w:tcPr>
                <w:p w14:paraId="43ECB969">
                  <w:pPr>
                    <w:pStyle w:val="6"/>
                    <w:rPr>
                      <w:rFonts w:hAnsi="宋体" w:eastAsia="宋体" w:cs="宋体"/>
                      <w:bCs/>
                      <w:iCs/>
                      <w:spacing w:val="10"/>
                      <w:sz w:val="18"/>
                      <w:szCs w:val="18"/>
                    </w:rPr>
                  </w:pPr>
                  <w:r>
                    <w:rPr>
                      <w:rFonts w:hint="eastAsia" w:hAnsi="宋体" w:eastAsia="宋体" w:cs="宋体"/>
                      <w:sz w:val="18"/>
                      <w:szCs w:val="18"/>
                    </w:rPr>
                    <w:t xml:space="preserve">制定本实验中汇率、货币和财政工具实施规则 </w:t>
                  </w:r>
                </w:p>
              </w:tc>
              <w:tc>
                <w:tcPr>
                  <w:tcW w:w="1244" w:type="dxa"/>
                  <w:vMerge w:val="continue"/>
                  <w:vAlign w:val="center"/>
                </w:tcPr>
                <w:p w14:paraId="36E1E6E2">
                  <w:pPr>
                    <w:pStyle w:val="6"/>
                    <w:jc w:val="center"/>
                    <w:rPr>
                      <w:rFonts w:hAnsi="宋体" w:eastAsia="宋体" w:cs="宋体"/>
                      <w:sz w:val="18"/>
                      <w:szCs w:val="18"/>
                    </w:rPr>
                  </w:pPr>
                </w:p>
              </w:tc>
            </w:tr>
            <w:tr w14:paraId="600F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14" w:type="dxa"/>
                  <w:vMerge w:val="continue"/>
                  <w:vAlign w:val="center"/>
                </w:tcPr>
                <w:p w14:paraId="0EAB68FB">
                  <w:pPr>
                    <w:pStyle w:val="6"/>
                    <w:rPr>
                      <w:rFonts w:hAnsi="宋体" w:eastAsia="宋体" w:cs="宋体"/>
                      <w:sz w:val="18"/>
                      <w:szCs w:val="18"/>
                    </w:rPr>
                  </w:pPr>
                </w:p>
              </w:tc>
              <w:tc>
                <w:tcPr>
                  <w:tcW w:w="1053" w:type="dxa"/>
                  <w:vMerge w:val="restart"/>
                  <w:vAlign w:val="center"/>
                </w:tcPr>
                <w:p w14:paraId="5292343A">
                  <w:pPr>
                    <w:pStyle w:val="6"/>
                    <w:rPr>
                      <w:rFonts w:hAnsi="宋体" w:eastAsia="宋体" w:cs="宋体"/>
                      <w:sz w:val="18"/>
                      <w:szCs w:val="18"/>
                    </w:rPr>
                  </w:pPr>
                  <w:r>
                    <w:rPr>
                      <w:rFonts w:hint="eastAsia" w:hAnsi="宋体" w:eastAsia="宋体" w:cs="宋体"/>
                      <w:sz w:val="18"/>
                      <w:szCs w:val="18"/>
                    </w:rPr>
                    <w:t>实验实施</w:t>
                  </w:r>
                </w:p>
              </w:tc>
              <w:tc>
                <w:tcPr>
                  <w:tcW w:w="2887" w:type="dxa"/>
                  <w:vAlign w:val="center"/>
                </w:tcPr>
                <w:p w14:paraId="7A89519B">
                  <w:pPr>
                    <w:pStyle w:val="6"/>
                    <w:rPr>
                      <w:rFonts w:hAnsi="宋体" w:eastAsia="宋体" w:cs="宋体"/>
                      <w:sz w:val="18"/>
                      <w:szCs w:val="18"/>
                    </w:rPr>
                  </w:pPr>
                  <w:r>
                    <w:rPr>
                      <w:rFonts w:hint="eastAsia" w:hAnsi="宋体" w:eastAsia="宋体" w:cs="宋体"/>
                      <w:sz w:val="18"/>
                      <w:szCs w:val="18"/>
                    </w:rPr>
                    <w:t>汇率工具实施</w:t>
                  </w:r>
                </w:p>
              </w:tc>
              <w:tc>
                <w:tcPr>
                  <w:tcW w:w="1244" w:type="dxa"/>
                  <w:vMerge w:val="continue"/>
                  <w:vAlign w:val="center"/>
                </w:tcPr>
                <w:p w14:paraId="19A5C968">
                  <w:pPr>
                    <w:jc w:val="center"/>
                    <w:rPr>
                      <w:rFonts w:ascii="宋体" w:hAnsi="宋体" w:eastAsia="宋体" w:cs="宋体"/>
                      <w:sz w:val="18"/>
                      <w:szCs w:val="18"/>
                    </w:rPr>
                  </w:pPr>
                </w:p>
              </w:tc>
            </w:tr>
            <w:tr w14:paraId="7982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14" w:type="dxa"/>
                  <w:vMerge w:val="continue"/>
                  <w:vAlign w:val="center"/>
                </w:tcPr>
                <w:p w14:paraId="09E2E380">
                  <w:pPr>
                    <w:pStyle w:val="6"/>
                    <w:rPr>
                      <w:rFonts w:hAnsi="宋体" w:eastAsia="宋体" w:cs="宋体"/>
                      <w:sz w:val="18"/>
                      <w:szCs w:val="18"/>
                    </w:rPr>
                  </w:pPr>
                </w:p>
              </w:tc>
              <w:tc>
                <w:tcPr>
                  <w:tcW w:w="1053" w:type="dxa"/>
                  <w:vMerge w:val="continue"/>
                  <w:vAlign w:val="center"/>
                </w:tcPr>
                <w:p w14:paraId="6474D5A4">
                  <w:pPr>
                    <w:pStyle w:val="6"/>
                    <w:rPr>
                      <w:rFonts w:hAnsi="宋体" w:eastAsia="宋体" w:cs="宋体"/>
                      <w:sz w:val="18"/>
                      <w:szCs w:val="18"/>
                    </w:rPr>
                  </w:pPr>
                </w:p>
              </w:tc>
              <w:tc>
                <w:tcPr>
                  <w:tcW w:w="2887" w:type="dxa"/>
                  <w:vAlign w:val="center"/>
                </w:tcPr>
                <w:p w14:paraId="0BF1C49D">
                  <w:pPr>
                    <w:pStyle w:val="6"/>
                    <w:rPr>
                      <w:rFonts w:hAnsi="宋体" w:eastAsia="宋体" w:cs="宋体"/>
                      <w:bCs/>
                      <w:iCs/>
                      <w:spacing w:val="10"/>
                      <w:sz w:val="18"/>
                      <w:szCs w:val="18"/>
                    </w:rPr>
                  </w:pPr>
                  <w:r>
                    <w:rPr>
                      <w:rFonts w:hint="eastAsia" w:hAnsi="宋体" w:eastAsia="宋体" w:cs="宋体"/>
                      <w:sz w:val="18"/>
                      <w:szCs w:val="18"/>
                    </w:rPr>
                    <w:t>货币政策组合工具实施</w:t>
                  </w:r>
                </w:p>
              </w:tc>
              <w:tc>
                <w:tcPr>
                  <w:tcW w:w="1244" w:type="dxa"/>
                  <w:vMerge w:val="continue"/>
                  <w:vAlign w:val="center"/>
                </w:tcPr>
                <w:p w14:paraId="15EE8F05">
                  <w:pPr>
                    <w:jc w:val="center"/>
                    <w:rPr>
                      <w:rFonts w:ascii="宋体" w:hAnsi="宋体" w:eastAsia="宋体" w:cs="宋体"/>
                      <w:sz w:val="18"/>
                      <w:szCs w:val="18"/>
                    </w:rPr>
                  </w:pPr>
                </w:p>
              </w:tc>
            </w:tr>
            <w:tr w14:paraId="00A9A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14" w:type="dxa"/>
                  <w:vMerge w:val="continue"/>
                  <w:vAlign w:val="center"/>
                </w:tcPr>
                <w:p w14:paraId="0B5AF93B">
                  <w:pPr>
                    <w:pStyle w:val="6"/>
                    <w:rPr>
                      <w:rFonts w:hAnsi="宋体" w:eastAsia="宋体" w:cs="宋体"/>
                      <w:sz w:val="18"/>
                      <w:szCs w:val="18"/>
                    </w:rPr>
                  </w:pPr>
                </w:p>
              </w:tc>
              <w:tc>
                <w:tcPr>
                  <w:tcW w:w="1053" w:type="dxa"/>
                  <w:vMerge w:val="continue"/>
                  <w:vAlign w:val="center"/>
                </w:tcPr>
                <w:p w14:paraId="01A4BF12">
                  <w:pPr>
                    <w:pStyle w:val="6"/>
                    <w:rPr>
                      <w:rFonts w:hAnsi="宋体" w:eastAsia="宋体" w:cs="宋体"/>
                      <w:sz w:val="18"/>
                      <w:szCs w:val="18"/>
                    </w:rPr>
                  </w:pPr>
                </w:p>
              </w:tc>
              <w:tc>
                <w:tcPr>
                  <w:tcW w:w="2887" w:type="dxa"/>
                  <w:vAlign w:val="center"/>
                </w:tcPr>
                <w:p w14:paraId="5F7036BF">
                  <w:pPr>
                    <w:pStyle w:val="6"/>
                    <w:rPr>
                      <w:rFonts w:hAnsi="宋体" w:eastAsia="宋体" w:cs="宋体"/>
                      <w:bCs/>
                      <w:iCs/>
                      <w:spacing w:val="10"/>
                      <w:sz w:val="18"/>
                      <w:szCs w:val="18"/>
                    </w:rPr>
                  </w:pPr>
                  <w:r>
                    <w:rPr>
                      <w:rFonts w:hint="eastAsia" w:hAnsi="宋体" w:eastAsia="宋体" w:cs="宋体"/>
                      <w:bCs/>
                      <w:iCs/>
                      <w:spacing w:val="10"/>
                      <w:sz w:val="18"/>
                      <w:szCs w:val="18"/>
                    </w:rPr>
                    <w:t>财政政策组合工具实施</w:t>
                  </w:r>
                </w:p>
              </w:tc>
              <w:tc>
                <w:tcPr>
                  <w:tcW w:w="1244" w:type="dxa"/>
                  <w:vMerge w:val="continue"/>
                  <w:vAlign w:val="center"/>
                </w:tcPr>
                <w:p w14:paraId="028D250F">
                  <w:pPr>
                    <w:pStyle w:val="6"/>
                    <w:jc w:val="center"/>
                    <w:rPr>
                      <w:rFonts w:hAnsi="宋体" w:eastAsia="宋体" w:cs="宋体"/>
                      <w:sz w:val="18"/>
                      <w:szCs w:val="18"/>
                    </w:rPr>
                  </w:pPr>
                </w:p>
              </w:tc>
            </w:tr>
            <w:tr w14:paraId="6340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14" w:type="dxa"/>
                  <w:vMerge w:val="continue"/>
                  <w:vAlign w:val="center"/>
                </w:tcPr>
                <w:p w14:paraId="479610E5">
                  <w:pPr>
                    <w:pStyle w:val="6"/>
                    <w:rPr>
                      <w:rFonts w:hAnsi="宋体" w:eastAsia="宋体" w:cs="宋体"/>
                      <w:sz w:val="18"/>
                      <w:szCs w:val="18"/>
                    </w:rPr>
                  </w:pPr>
                </w:p>
              </w:tc>
              <w:tc>
                <w:tcPr>
                  <w:tcW w:w="1053" w:type="dxa"/>
                  <w:vMerge w:val="continue"/>
                  <w:vAlign w:val="center"/>
                </w:tcPr>
                <w:p w14:paraId="60741270">
                  <w:pPr>
                    <w:pStyle w:val="6"/>
                    <w:rPr>
                      <w:rFonts w:hAnsi="宋体" w:eastAsia="宋体" w:cs="宋体"/>
                      <w:sz w:val="18"/>
                      <w:szCs w:val="18"/>
                    </w:rPr>
                  </w:pPr>
                </w:p>
              </w:tc>
              <w:tc>
                <w:tcPr>
                  <w:tcW w:w="2887" w:type="dxa"/>
                  <w:vAlign w:val="center"/>
                </w:tcPr>
                <w:p w14:paraId="05710023">
                  <w:pPr>
                    <w:pStyle w:val="6"/>
                    <w:rPr>
                      <w:rFonts w:hAnsi="宋体" w:eastAsia="宋体" w:cs="宋体"/>
                      <w:bCs/>
                      <w:iCs/>
                      <w:spacing w:val="10"/>
                      <w:sz w:val="18"/>
                      <w:szCs w:val="18"/>
                    </w:rPr>
                  </w:pPr>
                  <w:r>
                    <w:rPr>
                      <w:rFonts w:hint="eastAsia" w:hAnsi="宋体" w:eastAsia="宋体" w:cs="宋体"/>
                      <w:bCs/>
                      <w:iCs/>
                      <w:spacing w:val="10"/>
                      <w:sz w:val="18"/>
                      <w:szCs w:val="18"/>
                    </w:rPr>
                    <w:t>各国根据在开放经济下政策目标调整宏观经济政策</w:t>
                  </w:r>
                </w:p>
              </w:tc>
              <w:tc>
                <w:tcPr>
                  <w:tcW w:w="1244" w:type="dxa"/>
                  <w:vMerge w:val="continue"/>
                  <w:vAlign w:val="center"/>
                </w:tcPr>
                <w:p w14:paraId="087227ED">
                  <w:pPr>
                    <w:pStyle w:val="6"/>
                    <w:jc w:val="center"/>
                    <w:rPr>
                      <w:rFonts w:hAnsi="宋体" w:eastAsia="宋体" w:cs="宋体"/>
                      <w:sz w:val="18"/>
                      <w:szCs w:val="18"/>
                    </w:rPr>
                  </w:pPr>
                </w:p>
              </w:tc>
            </w:tr>
            <w:tr w14:paraId="199A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Merge w:val="continue"/>
                  <w:vAlign w:val="center"/>
                </w:tcPr>
                <w:p w14:paraId="0D76B816">
                  <w:pPr>
                    <w:pStyle w:val="6"/>
                    <w:rPr>
                      <w:rFonts w:hAnsi="宋体" w:eastAsia="宋体" w:cs="宋体"/>
                      <w:sz w:val="18"/>
                      <w:szCs w:val="18"/>
                    </w:rPr>
                  </w:pPr>
                </w:p>
              </w:tc>
              <w:tc>
                <w:tcPr>
                  <w:tcW w:w="1053" w:type="dxa"/>
                  <w:vMerge w:val="continue"/>
                  <w:vAlign w:val="center"/>
                </w:tcPr>
                <w:p w14:paraId="63707AC2">
                  <w:pPr>
                    <w:pStyle w:val="6"/>
                    <w:rPr>
                      <w:rFonts w:hAnsi="宋体" w:eastAsia="宋体" w:cs="宋体"/>
                      <w:sz w:val="18"/>
                      <w:szCs w:val="18"/>
                    </w:rPr>
                  </w:pPr>
                </w:p>
              </w:tc>
              <w:tc>
                <w:tcPr>
                  <w:tcW w:w="2887" w:type="dxa"/>
                  <w:vAlign w:val="center"/>
                </w:tcPr>
                <w:p w14:paraId="106F40FD">
                  <w:pPr>
                    <w:pStyle w:val="6"/>
                    <w:rPr>
                      <w:rFonts w:hAnsi="宋体" w:eastAsia="宋体" w:cs="宋体"/>
                      <w:bCs/>
                      <w:iCs/>
                      <w:spacing w:val="10"/>
                      <w:sz w:val="18"/>
                      <w:szCs w:val="18"/>
                    </w:rPr>
                  </w:pPr>
                  <w:r>
                    <w:rPr>
                      <w:rFonts w:hint="eastAsia" w:hAnsi="宋体" w:eastAsia="宋体" w:cs="宋体"/>
                      <w:bCs/>
                      <w:iCs/>
                      <w:spacing w:val="10"/>
                      <w:sz w:val="18"/>
                      <w:szCs w:val="18"/>
                    </w:rPr>
                    <w:t>检查汇率制度是否实现了当初预定的政策</w:t>
                  </w:r>
                </w:p>
              </w:tc>
              <w:tc>
                <w:tcPr>
                  <w:tcW w:w="1244" w:type="dxa"/>
                  <w:vMerge w:val="continue"/>
                  <w:vAlign w:val="center"/>
                </w:tcPr>
                <w:p w14:paraId="0504BCB0">
                  <w:pPr>
                    <w:pStyle w:val="6"/>
                    <w:jc w:val="center"/>
                    <w:rPr>
                      <w:rFonts w:hAnsi="宋体" w:eastAsia="宋体" w:cs="宋体"/>
                      <w:sz w:val="18"/>
                      <w:szCs w:val="18"/>
                    </w:rPr>
                  </w:pPr>
                </w:p>
              </w:tc>
            </w:tr>
            <w:tr w14:paraId="0700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014" w:type="dxa"/>
                  <w:vMerge w:val="continue"/>
                  <w:vAlign w:val="center"/>
                </w:tcPr>
                <w:p w14:paraId="0019CC81">
                  <w:pPr>
                    <w:pStyle w:val="6"/>
                    <w:rPr>
                      <w:rFonts w:hAnsi="宋体" w:eastAsia="宋体" w:cs="宋体"/>
                      <w:sz w:val="18"/>
                      <w:szCs w:val="18"/>
                    </w:rPr>
                  </w:pPr>
                </w:p>
              </w:tc>
              <w:tc>
                <w:tcPr>
                  <w:tcW w:w="1053" w:type="dxa"/>
                  <w:vMerge w:val="restart"/>
                  <w:vAlign w:val="center"/>
                </w:tcPr>
                <w:p w14:paraId="31A876A1">
                  <w:pPr>
                    <w:pStyle w:val="6"/>
                    <w:rPr>
                      <w:rFonts w:hAnsi="宋体" w:eastAsia="宋体" w:cs="宋体"/>
                      <w:sz w:val="18"/>
                      <w:szCs w:val="18"/>
                    </w:rPr>
                  </w:pPr>
                  <w:r>
                    <w:rPr>
                      <w:rFonts w:hint="eastAsia" w:hAnsi="宋体" w:eastAsia="宋体" w:cs="宋体"/>
                      <w:sz w:val="18"/>
                      <w:szCs w:val="18"/>
                    </w:rPr>
                    <w:t>实验总结</w:t>
                  </w:r>
                </w:p>
              </w:tc>
              <w:tc>
                <w:tcPr>
                  <w:tcW w:w="2887" w:type="dxa"/>
                  <w:vAlign w:val="center"/>
                </w:tcPr>
                <w:p w14:paraId="332AE864">
                  <w:pPr>
                    <w:pStyle w:val="6"/>
                    <w:rPr>
                      <w:rFonts w:hAnsi="宋体" w:eastAsia="宋体" w:cs="宋体"/>
                      <w:bCs/>
                      <w:iCs/>
                      <w:spacing w:val="10"/>
                      <w:sz w:val="18"/>
                      <w:szCs w:val="18"/>
                    </w:rPr>
                  </w:pPr>
                  <w:r>
                    <w:rPr>
                      <w:rFonts w:hint="eastAsia" w:hAnsi="宋体" w:eastAsia="宋体" w:cs="宋体"/>
                      <w:bCs/>
                      <w:iCs/>
                      <w:spacing w:val="10"/>
                      <w:sz w:val="18"/>
                      <w:szCs w:val="18"/>
                    </w:rPr>
                    <w:t>总结在开放经济中政府调控宏观政策目标常用且有效的政策组合</w:t>
                  </w:r>
                </w:p>
              </w:tc>
              <w:tc>
                <w:tcPr>
                  <w:tcW w:w="1244" w:type="dxa"/>
                  <w:vMerge w:val="continue"/>
                  <w:vAlign w:val="center"/>
                </w:tcPr>
                <w:p w14:paraId="55BCCE56">
                  <w:pPr>
                    <w:pStyle w:val="6"/>
                    <w:jc w:val="center"/>
                    <w:rPr>
                      <w:rFonts w:hAnsi="宋体" w:eastAsia="宋体" w:cs="宋体"/>
                      <w:sz w:val="18"/>
                      <w:szCs w:val="18"/>
                    </w:rPr>
                  </w:pPr>
                </w:p>
              </w:tc>
            </w:tr>
            <w:tr w14:paraId="4EB5B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14" w:type="dxa"/>
                  <w:vMerge w:val="continue"/>
                  <w:vAlign w:val="center"/>
                </w:tcPr>
                <w:p w14:paraId="0D3D50B3">
                  <w:pPr>
                    <w:pStyle w:val="6"/>
                    <w:rPr>
                      <w:rFonts w:hAnsi="宋体" w:eastAsia="宋体" w:cs="宋体"/>
                      <w:sz w:val="18"/>
                      <w:szCs w:val="18"/>
                    </w:rPr>
                  </w:pPr>
                </w:p>
              </w:tc>
              <w:tc>
                <w:tcPr>
                  <w:tcW w:w="1053" w:type="dxa"/>
                  <w:vMerge w:val="continue"/>
                  <w:vAlign w:val="center"/>
                </w:tcPr>
                <w:p w14:paraId="788D46AA">
                  <w:pPr>
                    <w:pStyle w:val="6"/>
                    <w:rPr>
                      <w:rFonts w:hAnsi="宋体" w:eastAsia="宋体" w:cs="宋体"/>
                      <w:sz w:val="18"/>
                      <w:szCs w:val="18"/>
                    </w:rPr>
                  </w:pPr>
                </w:p>
              </w:tc>
              <w:tc>
                <w:tcPr>
                  <w:tcW w:w="2887" w:type="dxa"/>
                  <w:vAlign w:val="center"/>
                </w:tcPr>
                <w:p w14:paraId="792F430D">
                  <w:pPr>
                    <w:pStyle w:val="6"/>
                    <w:rPr>
                      <w:rFonts w:hAnsi="宋体" w:eastAsia="宋体" w:cs="宋体"/>
                      <w:bCs/>
                      <w:iCs/>
                      <w:spacing w:val="10"/>
                      <w:sz w:val="18"/>
                      <w:szCs w:val="18"/>
                    </w:rPr>
                  </w:pPr>
                  <w:r>
                    <w:rPr>
                      <w:rFonts w:hint="eastAsia" w:hAnsi="宋体" w:eastAsia="宋体" w:cs="宋体"/>
                      <w:bCs/>
                      <w:iCs/>
                      <w:spacing w:val="10"/>
                      <w:sz w:val="18"/>
                      <w:szCs w:val="18"/>
                    </w:rPr>
                    <w:t>总结开放经济下宏观经济政策、汇率制度在本实验中的效果</w:t>
                  </w:r>
                </w:p>
              </w:tc>
              <w:tc>
                <w:tcPr>
                  <w:tcW w:w="1244" w:type="dxa"/>
                  <w:vMerge w:val="continue"/>
                  <w:vAlign w:val="center"/>
                </w:tcPr>
                <w:p w14:paraId="362F21B7">
                  <w:pPr>
                    <w:pStyle w:val="6"/>
                    <w:jc w:val="center"/>
                    <w:rPr>
                      <w:rFonts w:hAnsi="宋体" w:eastAsia="宋体" w:cs="宋体"/>
                      <w:sz w:val="18"/>
                      <w:szCs w:val="18"/>
                    </w:rPr>
                  </w:pPr>
                </w:p>
              </w:tc>
            </w:tr>
            <w:tr w14:paraId="7847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014" w:type="dxa"/>
                  <w:vMerge w:val="continue"/>
                  <w:vAlign w:val="center"/>
                </w:tcPr>
                <w:p w14:paraId="16F45280">
                  <w:pPr>
                    <w:pStyle w:val="6"/>
                    <w:rPr>
                      <w:rFonts w:hAnsi="宋体" w:eastAsia="宋体" w:cs="宋体"/>
                      <w:sz w:val="18"/>
                      <w:szCs w:val="18"/>
                    </w:rPr>
                  </w:pPr>
                </w:p>
              </w:tc>
              <w:tc>
                <w:tcPr>
                  <w:tcW w:w="1053" w:type="dxa"/>
                  <w:vMerge w:val="continue"/>
                  <w:vAlign w:val="center"/>
                </w:tcPr>
                <w:p w14:paraId="6EA5AF88">
                  <w:pPr>
                    <w:pStyle w:val="6"/>
                    <w:rPr>
                      <w:rFonts w:hAnsi="宋体" w:eastAsia="宋体" w:cs="宋体"/>
                      <w:sz w:val="18"/>
                      <w:szCs w:val="18"/>
                    </w:rPr>
                  </w:pPr>
                </w:p>
              </w:tc>
              <w:tc>
                <w:tcPr>
                  <w:tcW w:w="2887" w:type="dxa"/>
                  <w:vAlign w:val="center"/>
                </w:tcPr>
                <w:p w14:paraId="2945FDA9">
                  <w:pPr>
                    <w:pStyle w:val="6"/>
                    <w:rPr>
                      <w:rFonts w:hAnsi="宋体" w:eastAsia="宋体" w:cs="宋体"/>
                      <w:bCs/>
                      <w:iCs/>
                      <w:spacing w:val="10"/>
                      <w:sz w:val="18"/>
                      <w:szCs w:val="18"/>
                    </w:rPr>
                  </w:pPr>
                  <w:r>
                    <w:rPr>
                      <w:rFonts w:hint="eastAsia" w:hAnsi="宋体" w:eastAsia="宋体" w:cs="宋体"/>
                      <w:bCs/>
                      <w:iCs/>
                      <w:spacing w:val="10"/>
                      <w:sz w:val="18"/>
                      <w:szCs w:val="18"/>
                    </w:rPr>
                    <w:t>总结不同宏观政策目标而导致的政策差异</w:t>
                  </w:r>
                </w:p>
              </w:tc>
              <w:tc>
                <w:tcPr>
                  <w:tcW w:w="1244" w:type="dxa"/>
                  <w:vMerge w:val="continue"/>
                  <w:vAlign w:val="center"/>
                </w:tcPr>
                <w:p w14:paraId="22B809C6">
                  <w:pPr>
                    <w:pStyle w:val="6"/>
                    <w:jc w:val="center"/>
                    <w:rPr>
                      <w:rFonts w:hAnsi="宋体" w:eastAsia="宋体" w:cs="宋体"/>
                      <w:sz w:val="18"/>
                      <w:szCs w:val="18"/>
                    </w:rPr>
                  </w:pPr>
                </w:p>
              </w:tc>
            </w:tr>
          </w:tbl>
          <w:p w14:paraId="154F5E30">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79C08788">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各国根据上一年产品进出口相关指标判断国际市场上商品竞争力，选择汇率制度</w:t>
            </w:r>
          </w:p>
          <w:p w14:paraId="1E110BD1">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各国政府制定在开放经济中宏观政策目标，并颁布相关政府措施</w:t>
            </w:r>
          </w:p>
          <w:p w14:paraId="7BA3D5B2">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实施汇率、财政政策和货币工具</w:t>
            </w:r>
          </w:p>
          <w:p w14:paraId="0D848229">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每一年运营结束后分析在不同汇率制度下宏观经济政策效果，以及对进出口行业的影响</w:t>
            </w:r>
          </w:p>
          <w:p w14:paraId="55081738">
            <w:pPr>
              <w:ind w:firstLine="527" w:firstLineChars="250"/>
              <w:rPr>
                <w:rFonts w:ascii="宋体" w:hAnsi="宋体" w:eastAsia="宋体" w:cs="宋体"/>
                <w:b/>
                <w:szCs w:val="21"/>
              </w:rPr>
            </w:pPr>
            <w:r>
              <w:rPr>
                <w:rFonts w:hint="eastAsia" w:ascii="宋体" w:hAnsi="宋体" w:eastAsia="宋体" w:cs="宋体"/>
                <w:b/>
                <w:szCs w:val="21"/>
              </w:rPr>
              <w:t>2）实验成果</w:t>
            </w:r>
          </w:p>
          <w:p w14:paraId="46B98BEB">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在开放经济下不同汇率制度下宏观经济政策的效果评估报告</w:t>
            </w:r>
          </w:p>
          <w:p w14:paraId="310BC8C5">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不同汇率制度对进出口行业的影响</w:t>
            </w:r>
          </w:p>
          <w:p w14:paraId="45494ADC">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引导思考如何避免蒙代尔不可能三角模型中的金融危机</w:t>
            </w:r>
          </w:p>
          <w:p w14:paraId="6E888D81">
            <w:pPr>
              <w:numPr>
                <w:ilvl w:val="3"/>
                <w:numId w:val="8"/>
              </w:numPr>
              <w:rPr>
                <w:rFonts w:ascii="宋体" w:hAnsi="宋体" w:eastAsia="宋体" w:cs="宋体"/>
                <w:b/>
                <w:color w:val="000000"/>
                <w:kern w:val="0"/>
                <w:szCs w:val="21"/>
              </w:rPr>
            </w:pPr>
            <w:bookmarkStart w:id="9" w:name="_Toc29521"/>
            <w:r>
              <w:rPr>
                <w:rFonts w:hint="eastAsia" w:ascii="宋体" w:hAnsi="宋体" w:eastAsia="宋体" w:cs="宋体"/>
                <w:b/>
                <w:color w:val="000000"/>
                <w:kern w:val="0"/>
                <w:szCs w:val="21"/>
              </w:rPr>
              <w:t>国际收支调节与平衡实验</w:t>
            </w:r>
            <w:bookmarkEnd w:id="9"/>
          </w:p>
          <w:p w14:paraId="2D186D9B">
            <w:pPr>
              <w:jc w:val="center"/>
              <w:rPr>
                <w:rFonts w:ascii="宋体" w:hAnsi="宋体" w:eastAsia="宋体" w:cs="宋体"/>
                <w:szCs w:val="21"/>
              </w:rPr>
            </w:pPr>
            <w:r>
              <w:rPr>
                <w:rFonts w:hint="eastAsia" w:ascii="宋体" w:hAnsi="宋体" w:eastAsia="宋体" w:cs="宋体"/>
                <w:szCs w:val="21"/>
              </w:rPr>
              <w:t>表8  国际收支调节与平衡实验项目</w:t>
            </w:r>
          </w:p>
          <w:tbl>
            <w:tblPr>
              <w:tblStyle w:val="12"/>
              <w:tblW w:w="6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1082"/>
              <w:gridCol w:w="3062"/>
              <w:gridCol w:w="1217"/>
            </w:tblGrid>
            <w:tr w14:paraId="65E4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38" w:type="dxa"/>
                  <w:shd w:val="clear" w:color="auto" w:fill="E6E6E6"/>
                  <w:vAlign w:val="center"/>
                </w:tcPr>
                <w:p w14:paraId="6CE59079">
                  <w:pPr>
                    <w:pStyle w:val="6"/>
                    <w:jc w:val="center"/>
                    <w:rPr>
                      <w:rFonts w:hAnsi="宋体" w:eastAsia="宋体" w:cs="宋体"/>
                      <w:sz w:val="18"/>
                      <w:szCs w:val="18"/>
                    </w:rPr>
                  </w:pPr>
                  <w:r>
                    <w:rPr>
                      <w:rFonts w:hint="eastAsia" w:hAnsi="宋体" w:eastAsia="宋体" w:cs="宋体"/>
                      <w:sz w:val="18"/>
                      <w:szCs w:val="18"/>
                    </w:rPr>
                    <w:t>一级模块</w:t>
                  </w:r>
                </w:p>
              </w:tc>
              <w:tc>
                <w:tcPr>
                  <w:tcW w:w="1082" w:type="dxa"/>
                  <w:shd w:val="clear" w:color="auto" w:fill="E6E6E6"/>
                  <w:vAlign w:val="center"/>
                </w:tcPr>
                <w:p w14:paraId="0F196E93">
                  <w:pPr>
                    <w:pStyle w:val="6"/>
                    <w:jc w:val="center"/>
                    <w:rPr>
                      <w:rFonts w:hAnsi="宋体" w:eastAsia="宋体" w:cs="宋体"/>
                      <w:sz w:val="18"/>
                      <w:szCs w:val="18"/>
                    </w:rPr>
                  </w:pPr>
                  <w:r>
                    <w:rPr>
                      <w:rFonts w:hint="eastAsia" w:hAnsi="宋体" w:eastAsia="宋体" w:cs="宋体"/>
                      <w:sz w:val="18"/>
                      <w:szCs w:val="18"/>
                    </w:rPr>
                    <w:t>二级模块</w:t>
                  </w:r>
                </w:p>
              </w:tc>
              <w:tc>
                <w:tcPr>
                  <w:tcW w:w="3062" w:type="dxa"/>
                  <w:shd w:val="clear" w:color="auto" w:fill="E6E6E6"/>
                  <w:vAlign w:val="center"/>
                </w:tcPr>
                <w:p w14:paraId="76DEB0EB">
                  <w:pPr>
                    <w:pStyle w:val="6"/>
                    <w:jc w:val="center"/>
                    <w:rPr>
                      <w:rFonts w:hAnsi="宋体" w:eastAsia="宋体" w:cs="宋体"/>
                      <w:sz w:val="18"/>
                      <w:szCs w:val="18"/>
                    </w:rPr>
                  </w:pPr>
                  <w:r>
                    <w:rPr>
                      <w:rFonts w:hint="eastAsia" w:hAnsi="宋体" w:eastAsia="宋体" w:cs="宋体"/>
                      <w:sz w:val="18"/>
                      <w:szCs w:val="18"/>
                    </w:rPr>
                    <w:t>实验项目名称</w:t>
                  </w:r>
                </w:p>
              </w:tc>
              <w:tc>
                <w:tcPr>
                  <w:tcW w:w="1217" w:type="dxa"/>
                  <w:shd w:val="clear" w:color="auto" w:fill="E6E6E6"/>
                  <w:vAlign w:val="center"/>
                </w:tcPr>
                <w:p w14:paraId="0768DE9F">
                  <w:pPr>
                    <w:pStyle w:val="6"/>
                    <w:jc w:val="center"/>
                    <w:rPr>
                      <w:rFonts w:hAnsi="宋体" w:eastAsia="宋体" w:cs="宋体"/>
                      <w:sz w:val="18"/>
                      <w:szCs w:val="18"/>
                    </w:rPr>
                  </w:pPr>
                  <w:r>
                    <w:rPr>
                      <w:rFonts w:hint="eastAsia" w:hAnsi="宋体" w:eastAsia="宋体" w:cs="宋体"/>
                      <w:sz w:val="18"/>
                      <w:szCs w:val="18"/>
                    </w:rPr>
                    <w:t>涉及知识点</w:t>
                  </w:r>
                </w:p>
              </w:tc>
            </w:tr>
            <w:tr w14:paraId="483A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8" w:type="dxa"/>
                  <w:vMerge w:val="restart"/>
                  <w:vAlign w:val="center"/>
                </w:tcPr>
                <w:p w14:paraId="41DCAD16">
                  <w:pPr>
                    <w:pStyle w:val="6"/>
                    <w:rPr>
                      <w:rFonts w:hAnsi="宋体" w:eastAsia="宋体" w:cs="宋体"/>
                      <w:sz w:val="18"/>
                      <w:szCs w:val="18"/>
                    </w:rPr>
                  </w:pPr>
                  <w:r>
                    <w:rPr>
                      <w:rFonts w:hint="eastAsia" w:hAnsi="宋体" w:eastAsia="宋体" w:cs="宋体"/>
                      <w:sz w:val="18"/>
                      <w:szCs w:val="18"/>
                    </w:rPr>
                    <w:t>国际收支调节与平衡实验</w:t>
                  </w:r>
                </w:p>
                <w:p w14:paraId="537E94E6">
                  <w:pPr>
                    <w:pStyle w:val="6"/>
                    <w:rPr>
                      <w:rFonts w:hAnsi="宋体" w:eastAsia="宋体" w:cs="宋体"/>
                      <w:sz w:val="18"/>
                      <w:szCs w:val="18"/>
                    </w:rPr>
                  </w:pPr>
                </w:p>
              </w:tc>
              <w:tc>
                <w:tcPr>
                  <w:tcW w:w="1082" w:type="dxa"/>
                  <w:vAlign w:val="center"/>
                </w:tcPr>
                <w:p w14:paraId="12E1AF10">
                  <w:pPr>
                    <w:pStyle w:val="6"/>
                    <w:rPr>
                      <w:rFonts w:hAnsi="宋体" w:eastAsia="宋体" w:cs="宋体"/>
                      <w:sz w:val="18"/>
                      <w:szCs w:val="18"/>
                    </w:rPr>
                  </w:pPr>
                  <w:r>
                    <w:rPr>
                      <w:rFonts w:hint="eastAsia" w:hAnsi="宋体" w:eastAsia="宋体" w:cs="宋体"/>
                      <w:sz w:val="18"/>
                      <w:szCs w:val="18"/>
                    </w:rPr>
                    <w:t>机构设立</w:t>
                  </w:r>
                </w:p>
              </w:tc>
              <w:tc>
                <w:tcPr>
                  <w:tcW w:w="3062" w:type="dxa"/>
                  <w:vAlign w:val="center"/>
                </w:tcPr>
                <w:p w14:paraId="6B4798DC">
                  <w:pPr>
                    <w:pStyle w:val="6"/>
                    <w:rPr>
                      <w:rFonts w:hAnsi="宋体" w:eastAsia="宋体" w:cs="宋体"/>
                      <w:sz w:val="18"/>
                      <w:szCs w:val="18"/>
                    </w:rPr>
                  </w:pPr>
                  <w:r>
                    <w:rPr>
                      <w:rFonts w:hint="eastAsia" w:hAnsi="宋体" w:eastAsia="宋体" w:cs="宋体"/>
                      <w:sz w:val="18"/>
                      <w:szCs w:val="18"/>
                    </w:rPr>
                    <w:t>成立国民经济统计部门、外汇局</w:t>
                  </w:r>
                </w:p>
              </w:tc>
              <w:tc>
                <w:tcPr>
                  <w:tcW w:w="1217" w:type="dxa"/>
                  <w:vMerge w:val="restart"/>
                  <w:vAlign w:val="center"/>
                </w:tcPr>
                <w:p w14:paraId="202E34CD">
                  <w:pPr>
                    <w:pStyle w:val="6"/>
                    <w:jc w:val="center"/>
                    <w:rPr>
                      <w:rFonts w:hAnsi="宋体" w:eastAsia="宋体" w:cs="宋体"/>
                      <w:sz w:val="18"/>
                      <w:szCs w:val="18"/>
                    </w:rPr>
                  </w:pPr>
                  <w:r>
                    <w:rPr>
                      <w:rFonts w:hint="eastAsia" w:hAnsi="宋体" w:eastAsia="宋体" w:cs="宋体"/>
                      <w:sz w:val="18"/>
                      <w:szCs w:val="18"/>
                    </w:rPr>
                    <w:t>国际收支平衡表主要内容</w:t>
                  </w:r>
                </w:p>
                <w:p w14:paraId="21F020FD">
                  <w:pPr>
                    <w:pStyle w:val="6"/>
                    <w:jc w:val="center"/>
                    <w:rPr>
                      <w:rFonts w:hAnsi="宋体" w:eastAsia="宋体" w:cs="宋体"/>
                      <w:sz w:val="18"/>
                      <w:szCs w:val="18"/>
                    </w:rPr>
                  </w:pPr>
                  <w:r>
                    <w:rPr>
                      <w:rFonts w:hint="eastAsia" w:hAnsi="宋体" w:eastAsia="宋体" w:cs="宋体"/>
                      <w:sz w:val="18"/>
                      <w:szCs w:val="18"/>
                    </w:rPr>
                    <w:t>国际收支平衡与失衡</w:t>
                  </w:r>
                </w:p>
                <w:p w14:paraId="6AAE6F30">
                  <w:pPr>
                    <w:pStyle w:val="6"/>
                    <w:jc w:val="center"/>
                    <w:rPr>
                      <w:rFonts w:hAnsi="宋体" w:eastAsia="宋体" w:cs="宋体"/>
                      <w:sz w:val="18"/>
                      <w:szCs w:val="18"/>
                    </w:rPr>
                  </w:pPr>
                  <w:r>
                    <w:rPr>
                      <w:rFonts w:hint="eastAsia" w:hAnsi="宋体" w:eastAsia="宋体" w:cs="宋体"/>
                      <w:sz w:val="18"/>
                      <w:szCs w:val="18"/>
                    </w:rPr>
                    <w:t>国际收支调整理论</w:t>
                  </w:r>
                </w:p>
                <w:p w14:paraId="435EF972">
                  <w:pPr>
                    <w:pStyle w:val="6"/>
                    <w:jc w:val="center"/>
                    <w:rPr>
                      <w:rFonts w:hAnsi="宋体" w:eastAsia="宋体" w:cs="宋体"/>
                      <w:sz w:val="18"/>
                      <w:szCs w:val="18"/>
                    </w:rPr>
                  </w:pPr>
                  <w:r>
                    <w:rPr>
                      <w:rFonts w:hint="eastAsia" w:hAnsi="宋体" w:eastAsia="宋体" w:cs="宋体"/>
                      <w:sz w:val="18"/>
                      <w:szCs w:val="18"/>
                    </w:rPr>
                    <w:t>开放经济乘数</w:t>
                  </w:r>
                </w:p>
              </w:tc>
            </w:tr>
            <w:tr w14:paraId="64BF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8" w:type="dxa"/>
                  <w:vMerge w:val="continue"/>
                  <w:vAlign w:val="center"/>
                </w:tcPr>
                <w:p w14:paraId="1DAB6FC8">
                  <w:pPr>
                    <w:pStyle w:val="6"/>
                    <w:rPr>
                      <w:rFonts w:hAnsi="宋体" w:eastAsia="宋体" w:cs="宋体"/>
                      <w:sz w:val="18"/>
                      <w:szCs w:val="18"/>
                    </w:rPr>
                  </w:pPr>
                </w:p>
              </w:tc>
              <w:tc>
                <w:tcPr>
                  <w:tcW w:w="1082" w:type="dxa"/>
                  <w:vAlign w:val="center"/>
                </w:tcPr>
                <w:p w14:paraId="7FE797DF">
                  <w:pPr>
                    <w:pStyle w:val="6"/>
                    <w:rPr>
                      <w:rFonts w:hAnsi="宋体" w:eastAsia="宋体" w:cs="宋体"/>
                      <w:sz w:val="18"/>
                      <w:szCs w:val="18"/>
                    </w:rPr>
                  </w:pPr>
                  <w:r>
                    <w:rPr>
                      <w:rFonts w:hint="eastAsia" w:hAnsi="宋体" w:eastAsia="宋体" w:cs="宋体"/>
                      <w:sz w:val="18"/>
                      <w:szCs w:val="18"/>
                    </w:rPr>
                    <w:t>导入培训</w:t>
                  </w:r>
                </w:p>
              </w:tc>
              <w:tc>
                <w:tcPr>
                  <w:tcW w:w="3062" w:type="dxa"/>
                  <w:vAlign w:val="center"/>
                </w:tcPr>
                <w:p w14:paraId="00DACD8D">
                  <w:pPr>
                    <w:pStyle w:val="6"/>
                    <w:rPr>
                      <w:rFonts w:hAnsi="宋体" w:eastAsia="宋体" w:cs="宋体"/>
                      <w:bCs/>
                      <w:iCs/>
                      <w:spacing w:val="10"/>
                      <w:sz w:val="18"/>
                      <w:szCs w:val="18"/>
                    </w:rPr>
                  </w:pPr>
                  <w:r>
                    <w:rPr>
                      <w:rFonts w:hint="eastAsia" w:hAnsi="宋体" w:eastAsia="宋体" w:cs="宋体"/>
                      <w:bCs/>
                      <w:iCs/>
                      <w:spacing w:val="10"/>
                      <w:sz w:val="18"/>
                      <w:szCs w:val="18"/>
                    </w:rPr>
                    <w:t>在开放经济下国际收支情况</w:t>
                  </w:r>
                </w:p>
              </w:tc>
              <w:tc>
                <w:tcPr>
                  <w:tcW w:w="1217" w:type="dxa"/>
                  <w:vMerge w:val="continue"/>
                  <w:vAlign w:val="center"/>
                </w:tcPr>
                <w:p w14:paraId="2243112A">
                  <w:pPr>
                    <w:pStyle w:val="6"/>
                    <w:jc w:val="center"/>
                    <w:rPr>
                      <w:rFonts w:hAnsi="宋体" w:eastAsia="宋体" w:cs="宋体"/>
                      <w:sz w:val="18"/>
                      <w:szCs w:val="18"/>
                    </w:rPr>
                  </w:pPr>
                </w:p>
              </w:tc>
            </w:tr>
            <w:tr w14:paraId="6E96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38" w:type="dxa"/>
                  <w:vMerge w:val="continue"/>
                  <w:vAlign w:val="center"/>
                </w:tcPr>
                <w:p w14:paraId="1B118927">
                  <w:pPr>
                    <w:pStyle w:val="6"/>
                    <w:rPr>
                      <w:rFonts w:hAnsi="宋体" w:eastAsia="宋体" w:cs="宋体"/>
                      <w:sz w:val="18"/>
                      <w:szCs w:val="18"/>
                    </w:rPr>
                  </w:pPr>
                </w:p>
              </w:tc>
              <w:tc>
                <w:tcPr>
                  <w:tcW w:w="1082" w:type="dxa"/>
                  <w:vMerge w:val="restart"/>
                  <w:vAlign w:val="center"/>
                </w:tcPr>
                <w:p w14:paraId="1C549238">
                  <w:pPr>
                    <w:pStyle w:val="6"/>
                    <w:rPr>
                      <w:rFonts w:hAnsi="宋体" w:eastAsia="宋体" w:cs="宋体"/>
                      <w:sz w:val="18"/>
                      <w:szCs w:val="18"/>
                    </w:rPr>
                  </w:pPr>
                  <w:r>
                    <w:rPr>
                      <w:rFonts w:hint="eastAsia" w:hAnsi="宋体" w:eastAsia="宋体" w:cs="宋体"/>
                      <w:sz w:val="18"/>
                      <w:szCs w:val="18"/>
                    </w:rPr>
                    <w:t>实验准备</w:t>
                  </w:r>
                </w:p>
              </w:tc>
              <w:tc>
                <w:tcPr>
                  <w:tcW w:w="3062" w:type="dxa"/>
                  <w:vAlign w:val="center"/>
                </w:tcPr>
                <w:p w14:paraId="3D358AD7">
                  <w:pPr>
                    <w:pStyle w:val="6"/>
                    <w:rPr>
                      <w:rFonts w:hAnsi="宋体" w:eastAsia="宋体" w:cs="宋体"/>
                      <w:bCs/>
                      <w:iCs/>
                      <w:spacing w:val="10"/>
                      <w:sz w:val="18"/>
                      <w:szCs w:val="18"/>
                    </w:rPr>
                  </w:pPr>
                  <w:r>
                    <w:rPr>
                      <w:rFonts w:hint="eastAsia" w:hAnsi="宋体" w:eastAsia="宋体" w:cs="宋体"/>
                      <w:sz w:val="18"/>
                      <w:szCs w:val="18"/>
                    </w:rPr>
                    <w:t>制定国民经济统计部门、外汇局的主要职责</w:t>
                  </w:r>
                </w:p>
              </w:tc>
              <w:tc>
                <w:tcPr>
                  <w:tcW w:w="1217" w:type="dxa"/>
                  <w:vMerge w:val="continue"/>
                  <w:vAlign w:val="center"/>
                </w:tcPr>
                <w:p w14:paraId="6385F5FD">
                  <w:pPr>
                    <w:pStyle w:val="6"/>
                    <w:jc w:val="center"/>
                    <w:rPr>
                      <w:rFonts w:hAnsi="宋体" w:eastAsia="宋体" w:cs="宋体"/>
                      <w:sz w:val="18"/>
                      <w:szCs w:val="18"/>
                    </w:rPr>
                  </w:pPr>
                </w:p>
              </w:tc>
            </w:tr>
            <w:tr w14:paraId="622C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938" w:type="dxa"/>
                  <w:vMerge w:val="continue"/>
                  <w:vAlign w:val="center"/>
                </w:tcPr>
                <w:p w14:paraId="674C7A03">
                  <w:pPr>
                    <w:pStyle w:val="6"/>
                    <w:rPr>
                      <w:rFonts w:hAnsi="宋体" w:eastAsia="宋体" w:cs="宋体"/>
                      <w:sz w:val="18"/>
                      <w:szCs w:val="18"/>
                    </w:rPr>
                  </w:pPr>
                </w:p>
              </w:tc>
              <w:tc>
                <w:tcPr>
                  <w:tcW w:w="1082" w:type="dxa"/>
                  <w:vMerge w:val="continue"/>
                  <w:vAlign w:val="center"/>
                </w:tcPr>
                <w:p w14:paraId="1C5C8F46">
                  <w:pPr>
                    <w:pStyle w:val="6"/>
                    <w:rPr>
                      <w:rFonts w:hAnsi="宋体" w:eastAsia="宋体" w:cs="宋体"/>
                      <w:sz w:val="18"/>
                      <w:szCs w:val="18"/>
                    </w:rPr>
                  </w:pPr>
                </w:p>
              </w:tc>
              <w:tc>
                <w:tcPr>
                  <w:tcW w:w="3062" w:type="dxa"/>
                  <w:vAlign w:val="center"/>
                </w:tcPr>
                <w:p w14:paraId="3B17822A">
                  <w:pPr>
                    <w:pStyle w:val="6"/>
                    <w:rPr>
                      <w:rFonts w:hAnsi="宋体" w:eastAsia="宋体" w:cs="宋体"/>
                      <w:bCs/>
                      <w:iCs/>
                      <w:spacing w:val="10"/>
                      <w:sz w:val="18"/>
                      <w:szCs w:val="18"/>
                    </w:rPr>
                  </w:pPr>
                  <w:r>
                    <w:rPr>
                      <w:rFonts w:hint="eastAsia" w:hAnsi="宋体" w:eastAsia="宋体" w:cs="宋体"/>
                      <w:sz w:val="18"/>
                      <w:szCs w:val="18"/>
                    </w:rPr>
                    <w:t xml:space="preserve">熟悉国际收支失衡的具体表现形式 </w:t>
                  </w:r>
                </w:p>
              </w:tc>
              <w:tc>
                <w:tcPr>
                  <w:tcW w:w="1217" w:type="dxa"/>
                  <w:vMerge w:val="continue"/>
                  <w:vAlign w:val="center"/>
                </w:tcPr>
                <w:p w14:paraId="49D50061">
                  <w:pPr>
                    <w:pStyle w:val="6"/>
                    <w:jc w:val="center"/>
                    <w:rPr>
                      <w:rFonts w:hAnsi="宋体" w:eastAsia="宋体" w:cs="宋体"/>
                      <w:sz w:val="18"/>
                      <w:szCs w:val="18"/>
                    </w:rPr>
                  </w:pPr>
                </w:p>
              </w:tc>
            </w:tr>
            <w:tr w14:paraId="5215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938" w:type="dxa"/>
                  <w:vMerge w:val="continue"/>
                  <w:vAlign w:val="center"/>
                </w:tcPr>
                <w:p w14:paraId="6FF34857">
                  <w:pPr>
                    <w:pStyle w:val="6"/>
                    <w:rPr>
                      <w:rFonts w:hAnsi="宋体" w:eastAsia="宋体" w:cs="宋体"/>
                      <w:sz w:val="18"/>
                      <w:szCs w:val="18"/>
                    </w:rPr>
                  </w:pPr>
                </w:p>
              </w:tc>
              <w:tc>
                <w:tcPr>
                  <w:tcW w:w="1082" w:type="dxa"/>
                  <w:vMerge w:val="continue"/>
                  <w:vAlign w:val="center"/>
                </w:tcPr>
                <w:p w14:paraId="60BE389E">
                  <w:pPr>
                    <w:pStyle w:val="6"/>
                    <w:rPr>
                      <w:rFonts w:hAnsi="宋体" w:eastAsia="宋体" w:cs="宋体"/>
                      <w:sz w:val="18"/>
                      <w:szCs w:val="18"/>
                    </w:rPr>
                  </w:pPr>
                </w:p>
              </w:tc>
              <w:tc>
                <w:tcPr>
                  <w:tcW w:w="3062" w:type="dxa"/>
                  <w:vAlign w:val="center"/>
                </w:tcPr>
                <w:p w14:paraId="009B5A27">
                  <w:pPr>
                    <w:pStyle w:val="6"/>
                    <w:rPr>
                      <w:rFonts w:hAnsi="宋体" w:eastAsia="宋体" w:cs="宋体"/>
                      <w:bCs/>
                      <w:iCs/>
                      <w:spacing w:val="10"/>
                      <w:sz w:val="18"/>
                      <w:szCs w:val="18"/>
                    </w:rPr>
                  </w:pPr>
                  <w:r>
                    <w:rPr>
                      <w:rFonts w:hint="eastAsia" w:hAnsi="宋体" w:eastAsia="宋体" w:cs="宋体"/>
                      <w:bCs/>
                      <w:iCs/>
                      <w:spacing w:val="10"/>
                      <w:sz w:val="18"/>
                      <w:szCs w:val="18"/>
                    </w:rPr>
                    <w:t>熟悉国际收支平衡表主要内容</w:t>
                  </w:r>
                </w:p>
              </w:tc>
              <w:tc>
                <w:tcPr>
                  <w:tcW w:w="1217" w:type="dxa"/>
                  <w:vMerge w:val="continue"/>
                  <w:vAlign w:val="center"/>
                </w:tcPr>
                <w:p w14:paraId="7E6660F3">
                  <w:pPr>
                    <w:pStyle w:val="6"/>
                    <w:jc w:val="center"/>
                    <w:rPr>
                      <w:rFonts w:hAnsi="宋体" w:eastAsia="宋体" w:cs="宋体"/>
                      <w:sz w:val="18"/>
                      <w:szCs w:val="18"/>
                    </w:rPr>
                  </w:pPr>
                </w:p>
              </w:tc>
            </w:tr>
            <w:tr w14:paraId="45514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38" w:type="dxa"/>
                  <w:vMerge w:val="continue"/>
                  <w:vAlign w:val="center"/>
                </w:tcPr>
                <w:p w14:paraId="40630445">
                  <w:pPr>
                    <w:pStyle w:val="6"/>
                    <w:rPr>
                      <w:rFonts w:hAnsi="宋体" w:eastAsia="宋体" w:cs="宋体"/>
                      <w:sz w:val="18"/>
                      <w:szCs w:val="18"/>
                    </w:rPr>
                  </w:pPr>
                </w:p>
              </w:tc>
              <w:tc>
                <w:tcPr>
                  <w:tcW w:w="1082" w:type="dxa"/>
                  <w:vMerge w:val="continue"/>
                  <w:vAlign w:val="center"/>
                </w:tcPr>
                <w:p w14:paraId="5CEF5DD6">
                  <w:pPr>
                    <w:pStyle w:val="6"/>
                    <w:rPr>
                      <w:rFonts w:hAnsi="宋体" w:eastAsia="宋体" w:cs="宋体"/>
                      <w:sz w:val="18"/>
                      <w:szCs w:val="18"/>
                    </w:rPr>
                  </w:pPr>
                </w:p>
              </w:tc>
              <w:tc>
                <w:tcPr>
                  <w:tcW w:w="3062" w:type="dxa"/>
                  <w:vAlign w:val="center"/>
                </w:tcPr>
                <w:p w14:paraId="6107E9D7">
                  <w:pPr>
                    <w:pStyle w:val="6"/>
                    <w:rPr>
                      <w:rFonts w:hAnsi="宋体" w:eastAsia="宋体" w:cs="宋体"/>
                      <w:bCs/>
                      <w:iCs/>
                      <w:spacing w:val="10"/>
                      <w:sz w:val="18"/>
                      <w:szCs w:val="18"/>
                    </w:rPr>
                  </w:pPr>
                  <w:r>
                    <w:rPr>
                      <w:rFonts w:hint="eastAsia" w:hAnsi="宋体" w:eastAsia="宋体" w:cs="宋体"/>
                      <w:bCs/>
                      <w:iCs/>
                      <w:spacing w:val="10"/>
                      <w:sz w:val="18"/>
                      <w:szCs w:val="18"/>
                    </w:rPr>
                    <w:t>熟悉国际收支调整理论</w:t>
                  </w:r>
                </w:p>
              </w:tc>
              <w:tc>
                <w:tcPr>
                  <w:tcW w:w="1217" w:type="dxa"/>
                  <w:vMerge w:val="continue"/>
                  <w:vAlign w:val="center"/>
                </w:tcPr>
                <w:p w14:paraId="0BCAE910">
                  <w:pPr>
                    <w:pStyle w:val="6"/>
                    <w:jc w:val="center"/>
                    <w:rPr>
                      <w:rFonts w:hAnsi="宋体" w:eastAsia="宋体" w:cs="宋体"/>
                      <w:sz w:val="18"/>
                      <w:szCs w:val="18"/>
                    </w:rPr>
                  </w:pPr>
                </w:p>
              </w:tc>
            </w:tr>
            <w:tr w14:paraId="799F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38" w:type="dxa"/>
                  <w:vMerge w:val="continue"/>
                  <w:vAlign w:val="center"/>
                </w:tcPr>
                <w:p w14:paraId="76DCA6D9">
                  <w:pPr>
                    <w:pStyle w:val="6"/>
                    <w:rPr>
                      <w:rFonts w:hAnsi="宋体" w:eastAsia="宋体" w:cs="宋体"/>
                      <w:sz w:val="18"/>
                      <w:szCs w:val="18"/>
                    </w:rPr>
                  </w:pPr>
                </w:p>
              </w:tc>
              <w:tc>
                <w:tcPr>
                  <w:tcW w:w="1082" w:type="dxa"/>
                  <w:vMerge w:val="restart"/>
                  <w:vAlign w:val="center"/>
                </w:tcPr>
                <w:p w14:paraId="1F92E414">
                  <w:pPr>
                    <w:pStyle w:val="6"/>
                    <w:rPr>
                      <w:rFonts w:hAnsi="宋体" w:eastAsia="宋体" w:cs="宋体"/>
                      <w:sz w:val="18"/>
                      <w:szCs w:val="18"/>
                    </w:rPr>
                  </w:pPr>
                  <w:r>
                    <w:rPr>
                      <w:rFonts w:hint="eastAsia" w:hAnsi="宋体" w:eastAsia="宋体" w:cs="宋体"/>
                      <w:sz w:val="18"/>
                      <w:szCs w:val="18"/>
                    </w:rPr>
                    <w:t>实验实施</w:t>
                  </w:r>
                </w:p>
              </w:tc>
              <w:tc>
                <w:tcPr>
                  <w:tcW w:w="3062" w:type="dxa"/>
                  <w:vAlign w:val="center"/>
                </w:tcPr>
                <w:p w14:paraId="2857298E">
                  <w:pPr>
                    <w:pStyle w:val="6"/>
                    <w:rPr>
                      <w:rFonts w:hAnsi="宋体" w:eastAsia="宋体" w:cs="宋体"/>
                      <w:bCs/>
                      <w:iCs/>
                      <w:spacing w:val="10"/>
                      <w:sz w:val="18"/>
                      <w:szCs w:val="18"/>
                    </w:rPr>
                  </w:pPr>
                  <w:r>
                    <w:rPr>
                      <w:rFonts w:hint="eastAsia" w:hAnsi="宋体" w:eastAsia="宋体" w:cs="宋体"/>
                      <w:bCs/>
                      <w:iCs/>
                      <w:spacing w:val="10"/>
                      <w:sz w:val="18"/>
                      <w:szCs w:val="18"/>
                    </w:rPr>
                    <w:t>各国统计国际收支平衡表中经常项目、金融项目、净误差与遗漏项目的数据</w:t>
                  </w:r>
                </w:p>
              </w:tc>
              <w:tc>
                <w:tcPr>
                  <w:tcW w:w="1217" w:type="dxa"/>
                  <w:vMerge w:val="continue"/>
                  <w:vAlign w:val="center"/>
                </w:tcPr>
                <w:p w14:paraId="2A0C2B79">
                  <w:pPr>
                    <w:pStyle w:val="6"/>
                    <w:jc w:val="center"/>
                    <w:rPr>
                      <w:rFonts w:hAnsi="宋体" w:eastAsia="宋体" w:cs="宋体"/>
                      <w:sz w:val="18"/>
                      <w:szCs w:val="18"/>
                    </w:rPr>
                  </w:pPr>
                </w:p>
              </w:tc>
            </w:tr>
            <w:tr w14:paraId="4399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38" w:type="dxa"/>
                  <w:vMerge w:val="continue"/>
                  <w:vAlign w:val="center"/>
                </w:tcPr>
                <w:p w14:paraId="6E103DF3">
                  <w:pPr>
                    <w:pStyle w:val="6"/>
                    <w:rPr>
                      <w:rFonts w:hAnsi="宋体" w:eastAsia="宋体" w:cs="宋体"/>
                      <w:sz w:val="18"/>
                      <w:szCs w:val="18"/>
                    </w:rPr>
                  </w:pPr>
                </w:p>
              </w:tc>
              <w:tc>
                <w:tcPr>
                  <w:tcW w:w="1082" w:type="dxa"/>
                  <w:vMerge w:val="continue"/>
                  <w:vAlign w:val="center"/>
                </w:tcPr>
                <w:p w14:paraId="4A0E895A">
                  <w:pPr>
                    <w:pStyle w:val="6"/>
                    <w:rPr>
                      <w:rFonts w:hAnsi="宋体" w:eastAsia="宋体" w:cs="宋体"/>
                      <w:sz w:val="18"/>
                      <w:szCs w:val="18"/>
                    </w:rPr>
                  </w:pPr>
                </w:p>
              </w:tc>
              <w:tc>
                <w:tcPr>
                  <w:tcW w:w="3062" w:type="dxa"/>
                  <w:vAlign w:val="center"/>
                </w:tcPr>
                <w:p w14:paraId="458CD033">
                  <w:pPr>
                    <w:pStyle w:val="6"/>
                    <w:rPr>
                      <w:rFonts w:hAnsi="宋体" w:eastAsia="宋体" w:cs="宋体"/>
                      <w:bCs/>
                      <w:iCs/>
                      <w:spacing w:val="10"/>
                      <w:sz w:val="18"/>
                      <w:szCs w:val="18"/>
                    </w:rPr>
                  </w:pPr>
                  <w:r>
                    <w:rPr>
                      <w:rFonts w:hint="eastAsia" w:hAnsi="宋体" w:eastAsia="宋体" w:cs="宋体"/>
                      <w:sz w:val="18"/>
                      <w:szCs w:val="18"/>
                    </w:rPr>
                    <w:t>各国分析国际收支平衡或失衡情况，判断贸易顺差还是贸易逆差</w:t>
                  </w:r>
                </w:p>
              </w:tc>
              <w:tc>
                <w:tcPr>
                  <w:tcW w:w="1217" w:type="dxa"/>
                  <w:vMerge w:val="continue"/>
                  <w:vAlign w:val="center"/>
                </w:tcPr>
                <w:p w14:paraId="1361E30D">
                  <w:pPr>
                    <w:pStyle w:val="6"/>
                    <w:jc w:val="center"/>
                    <w:rPr>
                      <w:rFonts w:hAnsi="宋体" w:eastAsia="宋体" w:cs="宋体"/>
                      <w:sz w:val="18"/>
                      <w:szCs w:val="18"/>
                    </w:rPr>
                  </w:pPr>
                </w:p>
              </w:tc>
            </w:tr>
            <w:tr w14:paraId="2718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38" w:type="dxa"/>
                  <w:vMerge w:val="continue"/>
                  <w:vAlign w:val="center"/>
                </w:tcPr>
                <w:p w14:paraId="718B970B">
                  <w:pPr>
                    <w:pStyle w:val="6"/>
                    <w:rPr>
                      <w:rFonts w:hAnsi="宋体" w:eastAsia="宋体" w:cs="宋体"/>
                      <w:sz w:val="18"/>
                      <w:szCs w:val="18"/>
                    </w:rPr>
                  </w:pPr>
                </w:p>
              </w:tc>
              <w:tc>
                <w:tcPr>
                  <w:tcW w:w="1082" w:type="dxa"/>
                  <w:vMerge w:val="continue"/>
                  <w:vAlign w:val="center"/>
                </w:tcPr>
                <w:p w14:paraId="04C3CCE5">
                  <w:pPr>
                    <w:pStyle w:val="6"/>
                    <w:rPr>
                      <w:rFonts w:hAnsi="宋体" w:eastAsia="宋体" w:cs="宋体"/>
                      <w:sz w:val="18"/>
                      <w:szCs w:val="18"/>
                    </w:rPr>
                  </w:pPr>
                </w:p>
              </w:tc>
              <w:tc>
                <w:tcPr>
                  <w:tcW w:w="3062" w:type="dxa"/>
                  <w:vAlign w:val="center"/>
                </w:tcPr>
                <w:p w14:paraId="09E09131">
                  <w:pPr>
                    <w:pStyle w:val="6"/>
                    <w:rPr>
                      <w:rFonts w:hAnsi="宋体" w:eastAsia="宋体" w:cs="宋体"/>
                      <w:bCs/>
                      <w:iCs/>
                      <w:spacing w:val="10"/>
                      <w:sz w:val="18"/>
                      <w:szCs w:val="18"/>
                    </w:rPr>
                  </w:pPr>
                  <w:r>
                    <w:rPr>
                      <w:rFonts w:hint="eastAsia" w:hAnsi="宋体" w:eastAsia="宋体" w:cs="宋体"/>
                      <w:bCs/>
                      <w:iCs/>
                      <w:spacing w:val="10"/>
                      <w:sz w:val="18"/>
                      <w:szCs w:val="18"/>
                    </w:rPr>
                    <w:t>政府对国际收支情况进行调整</w:t>
                  </w:r>
                </w:p>
              </w:tc>
              <w:tc>
                <w:tcPr>
                  <w:tcW w:w="1217" w:type="dxa"/>
                  <w:vMerge w:val="continue"/>
                  <w:vAlign w:val="center"/>
                </w:tcPr>
                <w:p w14:paraId="5CEDEC3B">
                  <w:pPr>
                    <w:pStyle w:val="6"/>
                    <w:jc w:val="center"/>
                    <w:rPr>
                      <w:rFonts w:hAnsi="宋体" w:eastAsia="宋体" w:cs="宋体"/>
                      <w:sz w:val="18"/>
                      <w:szCs w:val="18"/>
                    </w:rPr>
                  </w:pPr>
                </w:p>
              </w:tc>
            </w:tr>
            <w:tr w14:paraId="6994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38" w:type="dxa"/>
                  <w:vMerge w:val="continue"/>
                  <w:vAlign w:val="center"/>
                </w:tcPr>
                <w:p w14:paraId="19CE3C2D">
                  <w:pPr>
                    <w:pStyle w:val="6"/>
                    <w:rPr>
                      <w:rFonts w:hAnsi="宋体" w:eastAsia="宋体" w:cs="宋体"/>
                      <w:sz w:val="18"/>
                      <w:szCs w:val="18"/>
                    </w:rPr>
                  </w:pPr>
                </w:p>
              </w:tc>
              <w:tc>
                <w:tcPr>
                  <w:tcW w:w="1082" w:type="dxa"/>
                  <w:vMerge w:val="restart"/>
                  <w:vAlign w:val="center"/>
                </w:tcPr>
                <w:p w14:paraId="65C7D067">
                  <w:pPr>
                    <w:pStyle w:val="6"/>
                    <w:rPr>
                      <w:rFonts w:hAnsi="宋体" w:eastAsia="宋体" w:cs="宋体"/>
                      <w:sz w:val="18"/>
                      <w:szCs w:val="18"/>
                    </w:rPr>
                  </w:pPr>
                  <w:r>
                    <w:rPr>
                      <w:rFonts w:hint="eastAsia" w:hAnsi="宋体" w:eastAsia="宋体" w:cs="宋体"/>
                      <w:sz w:val="18"/>
                      <w:szCs w:val="18"/>
                    </w:rPr>
                    <w:t>实验总结</w:t>
                  </w:r>
                </w:p>
              </w:tc>
              <w:tc>
                <w:tcPr>
                  <w:tcW w:w="3062" w:type="dxa"/>
                  <w:vAlign w:val="center"/>
                </w:tcPr>
                <w:p w14:paraId="31E308DC">
                  <w:pPr>
                    <w:pStyle w:val="6"/>
                    <w:rPr>
                      <w:rFonts w:hAnsi="宋体" w:eastAsia="宋体" w:cs="宋体"/>
                      <w:bCs/>
                      <w:iCs/>
                      <w:spacing w:val="10"/>
                      <w:sz w:val="18"/>
                      <w:szCs w:val="18"/>
                    </w:rPr>
                  </w:pPr>
                  <w:r>
                    <w:rPr>
                      <w:rFonts w:hint="eastAsia" w:hAnsi="宋体" w:eastAsia="宋体" w:cs="宋体"/>
                      <w:bCs/>
                      <w:iCs/>
                      <w:spacing w:val="10"/>
                      <w:sz w:val="18"/>
                      <w:szCs w:val="18"/>
                    </w:rPr>
                    <w:t>总结在实验中国际收支平衡表失衡的出现情况</w:t>
                  </w:r>
                </w:p>
              </w:tc>
              <w:tc>
                <w:tcPr>
                  <w:tcW w:w="1217" w:type="dxa"/>
                  <w:vMerge w:val="continue"/>
                  <w:vAlign w:val="center"/>
                </w:tcPr>
                <w:p w14:paraId="786642D3">
                  <w:pPr>
                    <w:pStyle w:val="6"/>
                    <w:jc w:val="center"/>
                    <w:rPr>
                      <w:rFonts w:hAnsi="宋体" w:eastAsia="宋体" w:cs="宋体"/>
                      <w:sz w:val="18"/>
                      <w:szCs w:val="18"/>
                    </w:rPr>
                  </w:pPr>
                </w:p>
              </w:tc>
            </w:tr>
            <w:tr w14:paraId="6052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38" w:type="dxa"/>
                  <w:vMerge w:val="continue"/>
                  <w:vAlign w:val="center"/>
                </w:tcPr>
                <w:p w14:paraId="216A88D7">
                  <w:pPr>
                    <w:pStyle w:val="6"/>
                    <w:rPr>
                      <w:rFonts w:hAnsi="宋体" w:eastAsia="宋体" w:cs="宋体"/>
                      <w:sz w:val="18"/>
                      <w:szCs w:val="18"/>
                    </w:rPr>
                  </w:pPr>
                </w:p>
              </w:tc>
              <w:tc>
                <w:tcPr>
                  <w:tcW w:w="1082" w:type="dxa"/>
                  <w:vMerge w:val="continue"/>
                  <w:vAlign w:val="center"/>
                </w:tcPr>
                <w:p w14:paraId="4E784FD0">
                  <w:pPr>
                    <w:pStyle w:val="6"/>
                    <w:rPr>
                      <w:rFonts w:hAnsi="宋体" w:eastAsia="宋体" w:cs="宋体"/>
                      <w:sz w:val="18"/>
                      <w:szCs w:val="18"/>
                    </w:rPr>
                  </w:pPr>
                </w:p>
              </w:tc>
              <w:tc>
                <w:tcPr>
                  <w:tcW w:w="3062" w:type="dxa"/>
                  <w:vAlign w:val="center"/>
                </w:tcPr>
                <w:p w14:paraId="216DEBE2">
                  <w:pPr>
                    <w:pStyle w:val="6"/>
                    <w:rPr>
                      <w:rFonts w:hAnsi="宋体" w:eastAsia="宋体" w:cs="宋体"/>
                      <w:bCs/>
                      <w:iCs/>
                      <w:spacing w:val="10"/>
                      <w:sz w:val="18"/>
                      <w:szCs w:val="18"/>
                    </w:rPr>
                  </w:pPr>
                  <w:r>
                    <w:rPr>
                      <w:rFonts w:hint="eastAsia" w:hAnsi="宋体" w:eastAsia="宋体" w:cs="宋体"/>
                      <w:bCs/>
                      <w:iCs/>
                      <w:spacing w:val="10"/>
                      <w:sz w:val="18"/>
                      <w:szCs w:val="18"/>
                    </w:rPr>
                    <w:t>总结国际收支在现实国际经济中的表现</w:t>
                  </w:r>
                </w:p>
              </w:tc>
              <w:tc>
                <w:tcPr>
                  <w:tcW w:w="1217" w:type="dxa"/>
                  <w:vMerge w:val="continue"/>
                  <w:vAlign w:val="center"/>
                </w:tcPr>
                <w:p w14:paraId="522E828C">
                  <w:pPr>
                    <w:pStyle w:val="6"/>
                    <w:jc w:val="center"/>
                    <w:rPr>
                      <w:rFonts w:hAnsi="宋体" w:eastAsia="宋体" w:cs="宋体"/>
                      <w:sz w:val="18"/>
                      <w:szCs w:val="18"/>
                    </w:rPr>
                  </w:pPr>
                </w:p>
              </w:tc>
            </w:tr>
            <w:tr w14:paraId="46FE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38" w:type="dxa"/>
                  <w:vMerge w:val="continue"/>
                  <w:vAlign w:val="center"/>
                </w:tcPr>
                <w:p w14:paraId="60C2076A">
                  <w:pPr>
                    <w:pStyle w:val="6"/>
                    <w:rPr>
                      <w:rFonts w:hAnsi="宋体" w:eastAsia="宋体" w:cs="宋体"/>
                      <w:sz w:val="18"/>
                      <w:szCs w:val="18"/>
                    </w:rPr>
                  </w:pPr>
                </w:p>
              </w:tc>
              <w:tc>
                <w:tcPr>
                  <w:tcW w:w="1082" w:type="dxa"/>
                  <w:vMerge w:val="continue"/>
                  <w:vAlign w:val="center"/>
                </w:tcPr>
                <w:p w14:paraId="1889F6B2">
                  <w:pPr>
                    <w:pStyle w:val="6"/>
                    <w:rPr>
                      <w:rFonts w:hAnsi="宋体" w:eastAsia="宋体" w:cs="宋体"/>
                      <w:sz w:val="18"/>
                      <w:szCs w:val="18"/>
                    </w:rPr>
                  </w:pPr>
                </w:p>
              </w:tc>
              <w:tc>
                <w:tcPr>
                  <w:tcW w:w="3062" w:type="dxa"/>
                  <w:vAlign w:val="center"/>
                </w:tcPr>
                <w:p w14:paraId="2887CABC">
                  <w:pPr>
                    <w:pStyle w:val="6"/>
                    <w:rPr>
                      <w:rFonts w:hAnsi="宋体" w:eastAsia="宋体" w:cs="宋体"/>
                      <w:bCs/>
                      <w:iCs/>
                      <w:spacing w:val="10"/>
                      <w:sz w:val="18"/>
                      <w:szCs w:val="18"/>
                    </w:rPr>
                  </w:pPr>
                  <w:r>
                    <w:rPr>
                      <w:rFonts w:hint="eastAsia" w:hAnsi="宋体" w:eastAsia="宋体" w:cs="宋体"/>
                      <w:sz w:val="18"/>
                      <w:szCs w:val="18"/>
                    </w:rPr>
                    <w:t>总结影响国际收支不平衡的因素</w:t>
                  </w:r>
                </w:p>
              </w:tc>
              <w:tc>
                <w:tcPr>
                  <w:tcW w:w="1217" w:type="dxa"/>
                  <w:vMerge w:val="continue"/>
                  <w:vAlign w:val="center"/>
                </w:tcPr>
                <w:p w14:paraId="33F4E10F">
                  <w:pPr>
                    <w:pStyle w:val="6"/>
                    <w:jc w:val="center"/>
                    <w:rPr>
                      <w:rFonts w:hAnsi="宋体" w:eastAsia="宋体" w:cs="宋体"/>
                      <w:sz w:val="18"/>
                      <w:szCs w:val="18"/>
                    </w:rPr>
                  </w:pPr>
                </w:p>
              </w:tc>
            </w:tr>
            <w:tr w14:paraId="6DCFC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38" w:type="dxa"/>
                  <w:vMerge w:val="continue"/>
                  <w:vAlign w:val="center"/>
                </w:tcPr>
                <w:p w14:paraId="57E6788E">
                  <w:pPr>
                    <w:pStyle w:val="6"/>
                    <w:rPr>
                      <w:rFonts w:hAnsi="宋体" w:eastAsia="宋体" w:cs="宋体"/>
                      <w:sz w:val="18"/>
                      <w:szCs w:val="18"/>
                    </w:rPr>
                  </w:pPr>
                </w:p>
              </w:tc>
              <w:tc>
                <w:tcPr>
                  <w:tcW w:w="1082" w:type="dxa"/>
                  <w:vMerge w:val="continue"/>
                  <w:vAlign w:val="center"/>
                </w:tcPr>
                <w:p w14:paraId="710864C9">
                  <w:pPr>
                    <w:pStyle w:val="6"/>
                    <w:rPr>
                      <w:rFonts w:hAnsi="宋体" w:eastAsia="宋体" w:cs="宋体"/>
                      <w:sz w:val="18"/>
                      <w:szCs w:val="18"/>
                    </w:rPr>
                  </w:pPr>
                </w:p>
              </w:tc>
              <w:tc>
                <w:tcPr>
                  <w:tcW w:w="3062" w:type="dxa"/>
                  <w:vAlign w:val="center"/>
                </w:tcPr>
                <w:p w14:paraId="234E1E60">
                  <w:pPr>
                    <w:pStyle w:val="6"/>
                    <w:rPr>
                      <w:rFonts w:hAnsi="宋体" w:eastAsia="宋体" w:cs="宋体"/>
                      <w:bCs/>
                      <w:iCs/>
                      <w:spacing w:val="10"/>
                      <w:sz w:val="18"/>
                      <w:szCs w:val="18"/>
                    </w:rPr>
                  </w:pPr>
                  <w:r>
                    <w:rPr>
                      <w:rFonts w:hint="eastAsia" w:hAnsi="宋体" w:eastAsia="宋体" w:cs="宋体"/>
                      <w:bCs/>
                      <w:iCs/>
                      <w:spacing w:val="10"/>
                      <w:sz w:val="18"/>
                      <w:szCs w:val="18"/>
                    </w:rPr>
                    <w:t>总结如何在现实中如何调节国际收支</w:t>
                  </w:r>
                </w:p>
              </w:tc>
              <w:tc>
                <w:tcPr>
                  <w:tcW w:w="1217" w:type="dxa"/>
                  <w:vMerge w:val="continue"/>
                  <w:vAlign w:val="center"/>
                </w:tcPr>
                <w:p w14:paraId="2BE6F76D">
                  <w:pPr>
                    <w:pStyle w:val="6"/>
                    <w:jc w:val="center"/>
                    <w:rPr>
                      <w:rFonts w:hAnsi="宋体" w:eastAsia="宋体" w:cs="宋体"/>
                      <w:sz w:val="18"/>
                      <w:szCs w:val="18"/>
                    </w:rPr>
                  </w:pPr>
                </w:p>
              </w:tc>
            </w:tr>
          </w:tbl>
          <w:p w14:paraId="6B837FE2">
            <w:pPr>
              <w:ind w:firstLine="527" w:firstLineChars="250"/>
              <w:rPr>
                <w:rFonts w:ascii="宋体" w:hAnsi="宋体" w:eastAsia="宋体" w:cs="宋体"/>
                <w:b/>
                <w:szCs w:val="21"/>
              </w:rPr>
            </w:pPr>
            <w:r>
              <w:rPr>
                <w:rFonts w:hint="eastAsia" w:ascii="宋体" w:hAnsi="宋体" w:eastAsia="宋体" w:cs="宋体"/>
                <w:b/>
                <w:szCs w:val="21"/>
              </w:rPr>
              <w:t>1）实验流程（工作程序）</w:t>
            </w:r>
          </w:p>
          <w:p w14:paraId="2E0B2957">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分析国际收支平衡表中项目指标</w:t>
            </w:r>
          </w:p>
          <w:p w14:paraId="5460830A">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判断盘面上国际收支存在的问题</w:t>
            </w:r>
          </w:p>
          <w:p w14:paraId="7BF0DBE6">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总结在下一年政府应该如何调整</w:t>
            </w:r>
          </w:p>
          <w:p w14:paraId="7A2A30B2">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分析本期运营后国际收支平衡是否达到预定目标</w:t>
            </w:r>
          </w:p>
          <w:p w14:paraId="76354754">
            <w:pPr>
              <w:ind w:firstLine="527" w:firstLineChars="250"/>
              <w:rPr>
                <w:rFonts w:ascii="宋体" w:hAnsi="宋体" w:eastAsia="宋体" w:cs="宋体"/>
                <w:b/>
                <w:szCs w:val="21"/>
              </w:rPr>
            </w:pPr>
            <w:r>
              <w:rPr>
                <w:rFonts w:hint="eastAsia" w:ascii="宋体" w:hAnsi="宋体" w:eastAsia="宋体" w:cs="宋体"/>
                <w:b/>
                <w:szCs w:val="21"/>
              </w:rPr>
              <w:t>2）实验成果</w:t>
            </w:r>
          </w:p>
          <w:p w14:paraId="75F1E10B">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国际收支平衡表分析报告</w:t>
            </w:r>
          </w:p>
          <w:p w14:paraId="7181172F">
            <w:pPr>
              <w:numPr>
                <w:ilvl w:val="0"/>
                <w:numId w:val="11"/>
              </w:numPr>
              <w:tabs>
                <w:tab w:val="left" w:pos="0"/>
                <w:tab w:val="clear" w:pos="420"/>
              </w:tabs>
              <w:rPr>
                <w:rFonts w:ascii="宋体" w:hAnsi="宋体" w:eastAsia="宋体" w:cs="宋体"/>
                <w:szCs w:val="21"/>
              </w:rPr>
            </w:pPr>
            <w:r>
              <w:rPr>
                <w:rFonts w:hint="eastAsia" w:ascii="宋体" w:hAnsi="宋体" w:eastAsia="宋体" w:cs="宋体"/>
                <w:szCs w:val="21"/>
              </w:rPr>
              <w:t>在现实经济中国际收支失衡的影响及调节措施</w:t>
            </w:r>
          </w:p>
        </w:tc>
      </w:tr>
      <w:tr w14:paraId="6CDBAA6B">
        <w:tblPrEx>
          <w:tblCellMar>
            <w:top w:w="0" w:type="dxa"/>
            <w:left w:w="108" w:type="dxa"/>
            <w:bottom w:w="0" w:type="dxa"/>
            <w:right w:w="108" w:type="dxa"/>
          </w:tblCellMar>
        </w:tblPrEx>
        <w:trPr>
          <w:trHeight w:val="2284" w:hRule="atLeast"/>
        </w:trPr>
        <w:tc>
          <w:tcPr>
            <w:tcW w:w="24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8F621B">
            <w:pPr>
              <w:widowControl/>
              <w:jc w:val="center"/>
              <w:rPr>
                <w:rFonts w:ascii="宋体" w:hAnsi="宋体" w:eastAsia="宋体" w:cs="宋体"/>
                <w:kern w:val="0"/>
                <w:szCs w:val="21"/>
              </w:rPr>
            </w:pPr>
            <w:r>
              <w:rPr>
                <w:rFonts w:hint="eastAsia" w:ascii="宋体" w:hAnsi="宋体" w:eastAsia="宋体" w:cs="宋体"/>
                <w:kern w:val="0"/>
                <w:szCs w:val="21"/>
              </w:rPr>
              <w:t>资金测算过程</w:t>
            </w:r>
          </w:p>
          <w:p w14:paraId="51C0EC40">
            <w:pPr>
              <w:widowControl/>
              <w:ind w:firstLine="210" w:firstLineChars="100"/>
              <w:jc w:val="left"/>
              <w:rPr>
                <w:rFonts w:ascii="宋体" w:hAnsi="宋体" w:eastAsia="宋体" w:cs="宋体"/>
                <w:kern w:val="0"/>
                <w:szCs w:val="21"/>
              </w:rPr>
            </w:pPr>
            <w:r>
              <w:rPr>
                <w:rFonts w:hint="eastAsia" w:ascii="宋体" w:hAnsi="宋体" w:eastAsia="宋体" w:cs="宋体"/>
                <w:kern w:val="0"/>
                <w:szCs w:val="21"/>
              </w:rPr>
              <w:t>（不少于200字）</w:t>
            </w:r>
          </w:p>
        </w:tc>
        <w:tc>
          <w:tcPr>
            <w:tcW w:w="6587" w:type="dxa"/>
            <w:gridSpan w:val="3"/>
            <w:tcBorders>
              <w:top w:val="single" w:color="auto" w:sz="4" w:space="0"/>
              <w:left w:val="nil"/>
              <w:bottom w:val="single" w:color="auto" w:sz="4" w:space="0"/>
              <w:right w:val="single" w:color="auto" w:sz="4" w:space="0"/>
            </w:tcBorders>
            <w:shd w:val="clear" w:color="auto" w:fill="auto"/>
            <w:noWrap/>
            <w:vAlign w:val="center"/>
          </w:tcPr>
          <w:p w14:paraId="50103C78">
            <w:pPr>
              <w:spacing w:line="360" w:lineRule="exact"/>
              <w:ind w:firstLine="420" w:firstLineChars="200"/>
              <w:rPr>
                <w:rFonts w:ascii="宋体" w:hAnsi="宋体" w:eastAsia="宋体" w:cs="宋体"/>
                <w:szCs w:val="21"/>
              </w:rPr>
            </w:pPr>
            <w:r>
              <w:rPr>
                <w:rFonts w:hint="eastAsia" w:ascii="宋体" w:hAnsi="宋体" w:cs="宋体"/>
                <w:szCs w:val="21"/>
              </w:rPr>
              <w:t>为建设好</w:t>
            </w:r>
            <w:r>
              <w:rPr>
                <w:rFonts w:hint="eastAsia" w:ascii="宋体" w:hAnsi="宋体" w:eastAsia="宋体" w:cs="宋体"/>
                <w:szCs w:val="21"/>
              </w:rPr>
              <w:t>数字经济实验室（国际经济学综合决策仿真实验）</w:t>
            </w:r>
            <w:r>
              <w:rPr>
                <w:rFonts w:hint="eastAsia" w:ascii="宋体" w:hAnsi="宋体" w:cs="宋体"/>
                <w:szCs w:val="21"/>
              </w:rPr>
              <w:t>项目，充分发挥数字经济、数据决策的引领作用，更好地适应当前专业实验教学的蓬勃发展，深化数据分析与教学实践相融合。前期进行了充分的考察调研，与成都杰科力科技进行多次沟通，同时也参考学院前期相关实训室采购信息。充分考虑了资源共享和不重复建设因素，以及后续拓展编制预算，使用学校现有</w:t>
            </w:r>
            <w:r>
              <w:rPr>
                <w:rFonts w:hint="eastAsia" w:ascii="宋体" w:hAnsi="宋体" w:eastAsia="宋体" w:cs="宋体"/>
                <w:szCs w:val="21"/>
              </w:rPr>
              <w:t>服务器</w:t>
            </w:r>
            <w:r>
              <w:rPr>
                <w:rFonts w:hint="eastAsia" w:ascii="宋体" w:hAnsi="宋体" w:cs="宋体"/>
                <w:szCs w:val="21"/>
              </w:rPr>
              <w:t>。本次拟建设</w:t>
            </w:r>
            <w:r>
              <w:rPr>
                <w:rFonts w:hint="eastAsia" w:ascii="宋体" w:hAnsi="宋体" w:eastAsia="宋体" w:cs="宋体"/>
                <w:szCs w:val="21"/>
              </w:rPr>
              <w:t>数字经济实验室（国际经济学综合决策仿真实验）</w:t>
            </w:r>
            <w:r>
              <w:rPr>
                <w:rFonts w:hint="eastAsia" w:ascii="宋体" w:hAnsi="宋体" w:cs="宋体"/>
                <w:szCs w:val="21"/>
              </w:rPr>
              <w:t>项目，需要采购</w:t>
            </w:r>
            <w:r>
              <w:rPr>
                <w:rFonts w:hint="eastAsia" w:ascii="宋体" w:hAnsi="宋体" w:eastAsia="宋体" w:cs="宋体"/>
                <w:szCs w:val="21"/>
              </w:rPr>
              <w:t>数字经济实验室（国际经济学综合决策仿真实验系统）</w:t>
            </w:r>
            <w:r>
              <w:rPr>
                <w:rFonts w:hint="eastAsia" w:ascii="宋体" w:hAnsi="宋体" w:cs="宋体"/>
                <w:szCs w:val="21"/>
              </w:rPr>
              <w:t>1套，实验室建设所涉及桌椅、投影仪、电脑、空调、音响等设备及实验室装修布线所需经费经调研对比，测算</w:t>
            </w:r>
            <w:r>
              <w:rPr>
                <w:rFonts w:hint="eastAsia" w:ascii="宋体" w:hAnsi="宋体" w:eastAsia="宋体" w:cs="宋体"/>
                <w:szCs w:val="21"/>
              </w:rPr>
              <w:t xml:space="preserve">本次建设数字经济实验室（国际经济学综合决策仿真实验）总预算为85.586万。 </w:t>
            </w:r>
          </w:p>
        </w:tc>
      </w:tr>
      <w:tr w14:paraId="21B7D4DB">
        <w:tblPrEx>
          <w:tblCellMar>
            <w:top w:w="0" w:type="dxa"/>
            <w:left w:w="108" w:type="dxa"/>
            <w:bottom w:w="0" w:type="dxa"/>
            <w:right w:w="108" w:type="dxa"/>
          </w:tblCellMar>
        </w:tblPrEx>
        <w:trPr>
          <w:trHeight w:val="1402" w:hRule="atLeast"/>
        </w:trPr>
        <w:tc>
          <w:tcPr>
            <w:tcW w:w="2444" w:type="dxa"/>
            <w:tcBorders>
              <w:top w:val="single" w:color="auto" w:sz="4" w:space="0"/>
              <w:left w:val="single" w:color="auto" w:sz="4" w:space="0"/>
              <w:bottom w:val="single" w:color="auto" w:sz="4" w:space="0"/>
              <w:right w:val="nil"/>
            </w:tcBorders>
            <w:shd w:val="clear" w:color="auto" w:fill="auto"/>
            <w:noWrap/>
            <w:vAlign w:val="center"/>
          </w:tcPr>
          <w:p w14:paraId="15F0E7E4">
            <w:pPr>
              <w:widowControl/>
              <w:jc w:val="center"/>
              <w:rPr>
                <w:rFonts w:ascii="宋体" w:hAnsi="宋体" w:eastAsia="宋体" w:cs="宋体"/>
                <w:kern w:val="0"/>
                <w:szCs w:val="21"/>
              </w:rPr>
            </w:pPr>
            <w:r>
              <w:rPr>
                <w:rFonts w:hint="eastAsia" w:ascii="宋体" w:hAnsi="宋体" w:eastAsia="宋体" w:cs="宋体"/>
                <w:kern w:val="0"/>
                <w:szCs w:val="21"/>
              </w:rPr>
              <w:t>实验室建设要求</w:t>
            </w:r>
          </w:p>
        </w:tc>
        <w:tc>
          <w:tcPr>
            <w:tcW w:w="6587"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66BE4369">
            <w:pPr>
              <w:numPr>
                <w:ilvl w:val="2"/>
                <w:numId w:val="12"/>
              </w:numPr>
              <w:rPr>
                <w:rFonts w:ascii="宋体" w:hAnsi="宋体" w:eastAsia="宋体" w:cs="宋体"/>
                <w:b/>
                <w:color w:val="000000"/>
                <w:kern w:val="0"/>
                <w:szCs w:val="21"/>
              </w:rPr>
            </w:pPr>
            <w:r>
              <w:rPr>
                <w:rFonts w:hint="eastAsia" w:ascii="宋体" w:hAnsi="宋体" w:eastAsia="宋体" w:cs="宋体"/>
                <w:b/>
                <w:color w:val="000000"/>
                <w:kern w:val="0"/>
                <w:szCs w:val="21"/>
              </w:rPr>
              <w:t>服务器配置要求</w:t>
            </w:r>
          </w:p>
          <w:p w14:paraId="58308E5B">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CPU：Intel Xeon E5 4核 64位处理器及以上 / AMD Opteron(tm) 64位处理器及以上。</w:t>
            </w:r>
          </w:p>
          <w:p w14:paraId="53B1A7C2">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内存：16GB及以上。</w:t>
            </w:r>
          </w:p>
          <w:p w14:paraId="185021AD">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硬盘：100GB及以上。</w:t>
            </w:r>
          </w:p>
          <w:p w14:paraId="6B79A0B8">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显卡：无要求。</w:t>
            </w:r>
          </w:p>
          <w:p w14:paraId="47ACF34C">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操作系统：Windows Server 2012及以上。</w:t>
            </w:r>
          </w:p>
          <w:p w14:paraId="23D7B744">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运行环境：.Net Framework 4.6及以上/netstandard2.1及以上。</w:t>
            </w:r>
          </w:p>
          <w:p w14:paraId="6B1AEFCA">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IIS版本：IIS 6.0及以上。</w:t>
            </w:r>
          </w:p>
          <w:p w14:paraId="52BBA4A3">
            <w:pPr>
              <w:pStyle w:val="22"/>
              <w:numPr>
                <w:ilvl w:val="0"/>
                <w:numId w:val="13"/>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数据库：SQL Server 2008及以上 / MySQL 5.7及以上。</w:t>
            </w:r>
          </w:p>
          <w:p w14:paraId="7B666658">
            <w:pPr>
              <w:numPr>
                <w:ilvl w:val="2"/>
                <w:numId w:val="12"/>
              </w:numPr>
              <w:rPr>
                <w:rFonts w:ascii="宋体" w:hAnsi="宋体" w:eastAsia="宋体" w:cs="宋体"/>
                <w:b/>
                <w:color w:val="000000"/>
                <w:kern w:val="0"/>
                <w:szCs w:val="21"/>
              </w:rPr>
            </w:pPr>
            <w:r>
              <w:rPr>
                <w:rFonts w:hint="eastAsia" w:ascii="宋体" w:hAnsi="宋体" w:eastAsia="宋体" w:cs="宋体"/>
                <w:b/>
                <w:color w:val="000000"/>
                <w:kern w:val="0"/>
                <w:szCs w:val="21"/>
              </w:rPr>
              <w:t>客户机配置要求</w:t>
            </w:r>
          </w:p>
          <w:p w14:paraId="74C93F7A">
            <w:pPr>
              <w:ind w:left="479" w:leftChars="228"/>
              <w:rPr>
                <w:rFonts w:ascii="宋体" w:hAnsi="宋体" w:eastAsia="宋体" w:cs="宋体"/>
                <w:b/>
                <w:color w:val="000000"/>
                <w:kern w:val="0"/>
                <w:szCs w:val="21"/>
              </w:rPr>
            </w:pPr>
            <w:r>
              <w:rPr>
                <w:rFonts w:hint="eastAsia" w:ascii="宋体" w:hAnsi="宋体" w:eastAsia="宋体" w:cs="宋体"/>
                <w:szCs w:val="21"/>
              </w:rPr>
              <w:t>浏览器：谷歌Chrome 60.0、IE 11及以上。</w:t>
            </w:r>
            <w:r>
              <w:rPr>
                <w:rFonts w:hint="eastAsia" w:ascii="宋体" w:hAnsi="宋体" w:eastAsia="宋体" w:cs="宋体"/>
                <w:kern w:val="44"/>
                <w:szCs w:val="21"/>
              </w:rPr>
              <w:br w:type="textWrapping"/>
            </w:r>
            <w:r>
              <w:rPr>
                <w:rFonts w:hint="eastAsia" w:ascii="宋体" w:hAnsi="宋体" w:eastAsia="宋体" w:cs="宋体"/>
                <w:kern w:val="44"/>
                <w:szCs w:val="21"/>
              </w:rPr>
              <w:t>注：</w:t>
            </w:r>
            <w:r>
              <w:rPr>
                <w:rFonts w:hint="eastAsia" w:ascii="宋体" w:hAnsi="宋体" w:eastAsia="宋体" w:cs="宋体"/>
                <w:szCs w:val="21"/>
              </w:rPr>
              <w:t>校内网需要服务器的防火墙开放特定端口，以允许学生机访问。所有电子沙盘软件版在交付安装时，严禁安装在个人电脑或主机上，否则将无法运行。</w:t>
            </w:r>
          </w:p>
          <w:p w14:paraId="07CEA147">
            <w:pPr>
              <w:numPr>
                <w:ilvl w:val="2"/>
                <w:numId w:val="12"/>
              </w:numPr>
              <w:rPr>
                <w:rFonts w:ascii="宋体" w:hAnsi="宋体" w:eastAsia="宋体" w:cs="宋体"/>
                <w:b/>
                <w:color w:val="000000"/>
                <w:kern w:val="0"/>
                <w:szCs w:val="21"/>
              </w:rPr>
            </w:pPr>
            <w:r>
              <w:rPr>
                <w:rFonts w:hint="eastAsia" w:ascii="宋体" w:hAnsi="宋体" w:eastAsia="宋体" w:cs="宋体"/>
                <w:b/>
                <w:color w:val="000000"/>
                <w:kern w:val="0"/>
                <w:szCs w:val="21"/>
              </w:rPr>
              <w:t>场地要求（如预算有限，可直接利用现有机房实验室，如预算充足，可参考下述实验室建设方案）</w:t>
            </w:r>
          </w:p>
          <w:p w14:paraId="0F79DC7A">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教室：教室100㎡以上，建议120㎡或以上</w:t>
            </w:r>
          </w:p>
          <w:p w14:paraId="3750EF8D">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粉饰内墙及内墙装饰。如条件允许，应将走廊墙面全部落地玻璃，并配活页窗帘。</w:t>
            </w:r>
          </w:p>
          <w:p w14:paraId="6EFB7B6A">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安装地板与强弱电。按上面平面图，至少每张虚拟仿真智慧桌子下有一根网线或一个网线插口，至少一个电源插口。教师课桌下至少一根网线或网线插口；至少两个电源线插口；并且预留一根麦克风连接线和一根音频输出线。如果投影仪吊顶，预留投影数据线。将交换机安装于墙角，并将所有网线连接于交换机上，并调试交换机</w:t>
            </w:r>
          </w:p>
          <w:p w14:paraId="6398B2C1">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安装音响设备。安装音响设备，并对音响设备进行调试。音响设备安装视设备或教室实际布置</w:t>
            </w:r>
          </w:p>
          <w:p w14:paraId="3404EFE2">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 xml:space="preserve"> 安装投影仪幕布。安装于教室正前方中间位置。 </w:t>
            </w:r>
          </w:p>
          <w:p w14:paraId="62A6FF55">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 xml:space="preserve">投影仪吊顶。并对投影仪投影焦距及大小进行调试。 </w:t>
            </w:r>
          </w:p>
          <w:p w14:paraId="54FA2AF8">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摆放白板。摆放白板（黑板）于教室前方，或学员可视度高的位置。</w:t>
            </w:r>
          </w:p>
          <w:p w14:paraId="3F12CF69">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摆放桌椅。按平面图方式摆放虚拟仿真智慧桌子，以及凳子。</w:t>
            </w:r>
          </w:p>
          <w:p w14:paraId="780666D9">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摆放塑玻板。将虚拟仿真智慧盘面平整放于虚拟仿真智慧桌子上，并将塑玻板压于虚拟仿真智慧盘面上。</w:t>
            </w:r>
          </w:p>
          <w:p w14:paraId="7285B3FE">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挂内部装饰图。根据教室内实际情况选择装饰图样进行喷绘，并悬挂于教室内（装饰图见附件）。</w:t>
            </w:r>
          </w:p>
          <w:p w14:paraId="3636A2B4">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 xml:space="preserve">安装教师端电脑。安装教师端电脑于教师桌子，并调试网络和音响设备，可以播放音乐。 </w:t>
            </w:r>
          </w:p>
          <w:p w14:paraId="6008B20D">
            <w:pPr>
              <w:pStyle w:val="22"/>
              <w:numPr>
                <w:ilvl w:val="0"/>
                <w:numId w:val="14"/>
              </w:numPr>
              <w:tabs>
                <w:tab w:val="left" w:pos="420"/>
                <w:tab w:val="clear" w:pos="2580"/>
              </w:tabs>
              <w:spacing w:before="0" w:after="0"/>
              <w:ind w:hanging="5"/>
              <w:outlineLvl w:val="9"/>
              <w:rPr>
                <w:rFonts w:ascii="宋体" w:hAnsi="宋体" w:eastAsia="宋体" w:cs="宋体"/>
                <w:b w:val="0"/>
                <w:bCs w:val="0"/>
                <w:sz w:val="21"/>
              </w:rPr>
            </w:pPr>
            <w:r>
              <w:rPr>
                <w:rFonts w:hint="eastAsia" w:ascii="宋体" w:hAnsi="宋体" w:eastAsia="宋体" w:cs="宋体"/>
                <w:b w:val="0"/>
                <w:bCs w:val="0"/>
                <w:sz w:val="21"/>
              </w:rPr>
              <w:t>安装电脑。每张虚拟仿真智慧桌子上配备一台计算机（建议屏幕使用液晶屏幕），并对网络进行调试。</w:t>
            </w:r>
          </w:p>
          <w:p w14:paraId="517EF10E">
            <w:pPr>
              <w:ind w:firstLine="420" w:firstLineChars="200"/>
              <w:rPr>
                <w:rFonts w:ascii="宋体" w:hAnsi="宋体" w:eastAsia="宋体" w:cs="宋体"/>
                <w:szCs w:val="21"/>
              </w:rPr>
            </w:pPr>
            <w:r>
              <w:rPr>
                <w:rFonts w:hint="eastAsia" w:ascii="宋体" w:hAnsi="宋体" w:eastAsia="宋体" w:cs="宋体"/>
                <w:szCs w:val="21"/>
              </w:rPr>
              <w:t>虚拟仿真智慧实训室平面布置图：</w:t>
            </w:r>
          </w:p>
          <w:p w14:paraId="7CE7CFAB">
            <w:pPr>
              <w:pStyle w:val="23"/>
              <w:spacing w:line="240" w:lineRule="auto"/>
              <w:jc w:val="center"/>
              <w:rPr>
                <w:rFonts w:hAnsi="宋体" w:eastAsia="宋体" w:cs="宋体"/>
                <w:sz w:val="21"/>
              </w:rPr>
            </w:pPr>
            <w:r>
              <w:rPr>
                <w:rFonts w:hint="eastAsia" w:hAnsi="宋体" w:eastAsia="宋体" w:cs="宋体"/>
                <w:sz w:val="21"/>
              </w:rPr>
              <w:drawing>
                <wp:inline distT="0" distB="0" distL="114300" distR="114300">
                  <wp:extent cx="3221990" cy="4587875"/>
                  <wp:effectExtent l="0" t="0" r="16510" b="3175"/>
                  <wp:docPr id="3" name="图片 3" descr="沙盘教室9张桌子布局图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沙盘教室9张桌子布局图B"/>
                          <pic:cNvPicPr>
                            <a:picLocks noChangeAspect="1"/>
                          </pic:cNvPicPr>
                        </pic:nvPicPr>
                        <pic:blipFill>
                          <a:blip r:embed="rId7"/>
                          <a:stretch>
                            <a:fillRect/>
                          </a:stretch>
                        </pic:blipFill>
                        <pic:spPr>
                          <a:xfrm>
                            <a:off x="0" y="0"/>
                            <a:ext cx="3221990" cy="4587875"/>
                          </a:xfrm>
                          <a:prstGeom prst="rect">
                            <a:avLst/>
                          </a:prstGeom>
                          <a:noFill/>
                          <a:ln>
                            <a:noFill/>
                          </a:ln>
                        </pic:spPr>
                      </pic:pic>
                    </a:graphicData>
                  </a:graphic>
                </wp:inline>
              </w:drawing>
            </w:r>
          </w:p>
          <w:p w14:paraId="1B046D6A">
            <w:pPr>
              <w:pStyle w:val="23"/>
              <w:spacing w:line="240" w:lineRule="auto"/>
              <w:jc w:val="center"/>
              <w:rPr>
                <w:rFonts w:hAnsi="宋体" w:eastAsia="宋体" w:cs="宋体"/>
                <w:sz w:val="21"/>
              </w:rPr>
            </w:pPr>
            <w:r>
              <w:rPr>
                <w:rFonts w:hint="eastAsia" w:hAnsi="宋体" w:eastAsia="宋体" w:cs="宋体"/>
                <w:sz w:val="21"/>
              </w:rPr>
              <w:t xml:space="preserve">   图1 虚拟仿真智慧桌摆放示意图A（现场具体摆放位置依教室大小而定）</w:t>
            </w:r>
          </w:p>
          <w:p w14:paraId="3EB36D85">
            <w:pPr>
              <w:pStyle w:val="23"/>
              <w:spacing w:line="240" w:lineRule="auto"/>
              <w:jc w:val="center"/>
              <w:rPr>
                <w:rFonts w:hAnsi="宋体" w:eastAsia="宋体" w:cs="宋体"/>
                <w:b/>
                <w:bCs w:val="0"/>
                <w:sz w:val="21"/>
              </w:rPr>
            </w:pPr>
            <w:r>
              <w:rPr>
                <w:rFonts w:hint="eastAsia" w:hAnsi="宋体" w:eastAsia="宋体" w:cs="宋体"/>
                <w:b/>
                <w:sz w:val="21"/>
              </w:rPr>
              <w:drawing>
                <wp:inline distT="0" distB="0" distL="114300" distR="114300">
                  <wp:extent cx="2970530" cy="2228850"/>
                  <wp:effectExtent l="0" t="0" r="1270" b="0"/>
                  <wp:docPr id="4" name="图片 4" descr="智慧云教室布置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智慧云教室布置1"/>
                          <pic:cNvPicPr>
                            <a:picLocks noChangeAspect="1"/>
                          </pic:cNvPicPr>
                        </pic:nvPicPr>
                        <pic:blipFill>
                          <a:blip r:embed="rId8"/>
                          <a:stretch>
                            <a:fillRect/>
                          </a:stretch>
                        </pic:blipFill>
                        <pic:spPr>
                          <a:xfrm>
                            <a:off x="0" y="0"/>
                            <a:ext cx="2970530" cy="2228850"/>
                          </a:xfrm>
                          <a:prstGeom prst="rect">
                            <a:avLst/>
                          </a:prstGeom>
                          <a:noFill/>
                          <a:ln>
                            <a:noFill/>
                          </a:ln>
                        </pic:spPr>
                      </pic:pic>
                    </a:graphicData>
                  </a:graphic>
                </wp:inline>
              </w:drawing>
            </w:r>
          </w:p>
          <w:p w14:paraId="7BE108DA">
            <w:pPr>
              <w:pStyle w:val="23"/>
              <w:spacing w:line="240" w:lineRule="auto"/>
              <w:jc w:val="center"/>
              <w:rPr>
                <w:rFonts w:hAnsi="宋体" w:eastAsia="宋体" w:cs="宋体"/>
                <w:sz w:val="21"/>
              </w:rPr>
            </w:pPr>
            <w:r>
              <w:rPr>
                <w:rFonts w:hint="eastAsia" w:hAnsi="宋体" w:eastAsia="宋体" w:cs="宋体"/>
                <w:sz w:val="21"/>
              </w:rPr>
              <w:t>图2 虚拟仿真智慧桌子和椅子样图（现场摆放位置依教室大小而定）</w:t>
            </w:r>
          </w:p>
          <w:p w14:paraId="42BC4606">
            <w:pPr>
              <w:jc w:val="center"/>
              <w:rPr>
                <w:rFonts w:ascii="宋体" w:hAnsi="宋体" w:eastAsia="宋体" w:cs="宋体"/>
                <w:b/>
                <w:bCs/>
                <w:szCs w:val="21"/>
              </w:rPr>
            </w:pPr>
            <w:r>
              <w:rPr>
                <w:rFonts w:hint="eastAsia" w:ascii="宋体" w:hAnsi="宋体" w:eastAsia="宋体" w:cs="宋体"/>
                <w:b/>
                <w:bCs/>
                <w:szCs w:val="21"/>
              </w:rPr>
              <w:drawing>
                <wp:inline distT="0" distB="0" distL="114300" distR="114300">
                  <wp:extent cx="2945765" cy="2210435"/>
                  <wp:effectExtent l="0" t="0" r="6985" b="18415"/>
                  <wp:docPr id="5" name="图片 5" descr="智慧云教室布置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智慧云教室布置2"/>
                          <pic:cNvPicPr>
                            <a:picLocks noChangeAspect="1"/>
                          </pic:cNvPicPr>
                        </pic:nvPicPr>
                        <pic:blipFill>
                          <a:blip r:embed="rId9"/>
                          <a:stretch>
                            <a:fillRect/>
                          </a:stretch>
                        </pic:blipFill>
                        <pic:spPr>
                          <a:xfrm>
                            <a:off x="0" y="0"/>
                            <a:ext cx="2945765" cy="2210435"/>
                          </a:xfrm>
                          <a:prstGeom prst="rect">
                            <a:avLst/>
                          </a:prstGeom>
                          <a:noFill/>
                          <a:ln>
                            <a:noFill/>
                          </a:ln>
                        </pic:spPr>
                      </pic:pic>
                    </a:graphicData>
                  </a:graphic>
                </wp:inline>
              </w:drawing>
            </w:r>
          </w:p>
          <w:p w14:paraId="361D40D6">
            <w:pPr>
              <w:pStyle w:val="23"/>
              <w:spacing w:line="240" w:lineRule="auto"/>
              <w:jc w:val="center"/>
              <w:rPr>
                <w:rFonts w:hAnsi="宋体" w:eastAsia="宋体" w:cs="宋体"/>
                <w:sz w:val="21"/>
              </w:rPr>
            </w:pPr>
            <w:r>
              <w:rPr>
                <w:rFonts w:hint="eastAsia" w:hAnsi="宋体" w:eastAsia="宋体" w:cs="宋体"/>
                <w:sz w:val="21"/>
              </w:rPr>
              <w:t>图3 虚拟仿真智慧教室形象墙实景图</w:t>
            </w:r>
          </w:p>
          <w:p w14:paraId="15D716E3">
            <w:pPr>
              <w:pStyle w:val="23"/>
              <w:spacing w:line="240" w:lineRule="auto"/>
              <w:jc w:val="center"/>
              <w:rPr>
                <w:rFonts w:hAnsi="宋体" w:eastAsia="宋体" w:cs="宋体"/>
                <w:sz w:val="21"/>
              </w:rPr>
            </w:pPr>
            <w:r>
              <w:rPr>
                <w:rFonts w:hint="eastAsia" w:hAnsi="宋体" w:eastAsia="宋体" w:cs="宋体"/>
                <w:sz w:val="21"/>
              </w:rPr>
              <w:drawing>
                <wp:inline distT="0" distB="0" distL="114300" distR="114300">
                  <wp:extent cx="2937510" cy="2181225"/>
                  <wp:effectExtent l="0" t="0" r="15240" b="9525"/>
                  <wp:docPr id="6" name="图片 6" descr="智慧云教室布置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智慧云教室布置3"/>
                          <pic:cNvPicPr>
                            <a:picLocks noChangeAspect="1"/>
                          </pic:cNvPicPr>
                        </pic:nvPicPr>
                        <pic:blipFill>
                          <a:blip r:embed="rId10"/>
                          <a:stretch>
                            <a:fillRect/>
                          </a:stretch>
                        </pic:blipFill>
                        <pic:spPr>
                          <a:xfrm>
                            <a:off x="0" y="0"/>
                            <a:ext cx="2937510" cy="2181225"/>
                          </a:xfrm>
                          <a:prstGeom prst="rect">
                            <a:avLst/>
                          </a:prstGeom>
                          <a:noFill/>
                          <a:ln>
                            <a:noFill/>
                          </a:ln>
                        </pic:spPr>
                      </pic:pic>
                    </a:graphicData>
                  </a:graphic>
                </wp:inline>
              </w:drawing>
            </w:r>
          </w:p>
          <w:p w14:paraId="0781B822">
            <w:pPr>
              <w:pStyle w:val="23"/>
              <w:spacing w:line="240" w:lineRule="auto"/>
              <w:jc w:val="center"/>
              <w:rPr>
                <w:rFonts w:hAnsi="宋体" w:eastAsia="宋体" w:cs="宋体"/>
                <w:sz w:val="21"/>
              </w:rPr>
            </w:pPr>
            <w:r>
              <w:rPr>
                <w:rFonts w:hint="eastAsia" w:hAnsi="宋体" w:eastAsia="宋体" w:cs="宋体"/>
                <w:sz w:val="21"/>
              </w:rPr>
              <w:t>图4 虚拟仿真智慧教室吊顶实景图</w:t>
            </w:r>
          </w:p>
        </w:tc>
      </w:tr>
    </w:tbl>
    <w:p w14:paraId="7B10AA8D">
      <w:pPr>
        <w:rPr>
          <w:rFonts w:ascii="宋体" w:hAnsi="宋体" w:cs="宋体"/>
          <w:b/>
          <w:bCs/>
          <w:kern w:val="0"/>
          <w:sz w:val="18"/>
          <w:szCs w:val="18"/>
        </w:rPr>
        <w:sectPr>
          <w:headerReference r:id="rId4" w:type="default"/>
          <w:pgSz w:w="11906" w:h="16838"/>
          <w:pgMar w:top="2098" w:right="1474" w:bottom="1985" w:left="1588" w:header="1531" w:footer="1021" w:gutter="0"/>
          <w:cols w:space="425" w:num="1"/>
          <w:docGrid w:type="lines" w:linePitch="312" w:charSpace="0"/>
        </w:sectPr>
      </w:pPr>
    </w:p>
    <w:p w14:paraId="1C7D2FAB">
      <w:pPr>
        <w:ind w:left="551"/>
        <w:rPr>
          <w:rFonts w:ascii="宋体" w:hAnsi="宋体" w:cs="宋体"/>
          <w:b/>
          <w:bCs/>
          <w:kern w:val="0"/>
          <w:sz w:val="18"/>
          <w:szCs w:val="18"/>
        </w:rPr>
      </w:pPr>
      <w:r>
        <w:rPr>
          <w:rFonts w:hint="eastAsia" w:ascii="宋体" w:hAnsi="宋体" w:cs="宋体"/>
          <w:b/>
          <w:bCs/>
          <w:kern w:val="0"/>
          <w:sz w:val="28"/>
          <w:szCs w:val="28"/>
        </w:rPr>
        <w:t>二、专项项目绩效说明</w:t>
      </w:r>
    </w:p>
    <w:p w14:paraId="70321224">
      <w:pPr>
        <w:ind w:left="1121"/>
        <w:rPr>
          <w:rFonts w:ascii="宋体" w:hAnsi="宋体" w:cs="宋体"/>
          <w:b/>
          <w:bCs/>
          <w:kern w:val="0"/>
          <w:sz w:val="18"/>
          <w:szCs w:val="18"/>
        </w:rPr>
      </w:pPr>
    </w:p>
    <w:tbl>
      <w:tblPr>
        <w:tblStyle w:val="12"/>
        <w:tblW w:w="14299" w:type="dxa"/>
        <w:tblInd w:w="93" w:type="dxa"/>
        <w:tblLayout w:type="fixed"/>
        <w:tblCellMar>
          <w:top w:w="0" w:type="dxa"/>
          <w:left w:w="108" w:type="dxa"/>
          <w:bottom w:w="0" w:type="dxa"/>
          <w:right w:w="108" w:type="dxa"/>
        </w:tblCellMar>
      </w:tblPr>
      <w:tblGrid>
        <w:gridCol w:w="440"/>
        <w:gridCol w:w="1929"/>
        <w:gridCol w:w="7"/>
        <w:gridCol w:w="1277"/>
        <w:gridCol w:w="1620"/>
        <w:gridCol w:w="72"/>
        <w:gridCol w:w="1638"/>
        <w:gridCol w:w="1339"/>
        <w:gridCol w:w="431"/>
        <w:gridCol w:w="1842"/>
        <w:gridCol w:w="704"/>
        <w:gridCol w:w="1054"/>
        <w:gridCol w:w="1946"/>
      </w:tblGrid>
      <w:tr w14:paraId="0A03E9E3">
        <w:tblPrEx>
          <w:tblCellMar>
            <w:top w:w="0" w:type="dxa"/>
            <w:left w:w="108" w:type="dxa"/>
            <w:bottom w:w="0" w:type="dxa"/>
            <w:right w:w="108" w:type="dxa"/>
          </w:tblCellMar>
        </w:tblPrEx>
        <w:trPr>
          <w:trHeight w:val="889" w:hRule="atLeast"/>
        </w:trPr>
        <w:tc>
          <w:tcPr>
            <w:tcW w:w="23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0D4F9F9">
            <w:pPr>
              <w:widowControl/>
              <w:jc w:val="center"/>
              <w:rPr>
                <w:rFonts w:ascii="宋体" w:hAnsi="宋体" w:cs="宋体"/>
                <w:kern w:val="0"/>
                <w:szCs w:val="21"/>
              </w:rPr>
            </w:pPr>
            <w:r>
              <w:rPr>
                <w:rFonts w:hint="eastAsia" w:ascii="宋体" w:hAnsi="宋体" w:cs="宋体"/>
                <w:kern w:val="0"/>
                <w:szCs w:val="21"/>
              </w:rPr>
              <w:t>项目名称</w:t>
            </w:r>
          </w:p>
        </w:tc>
        <w:tc>
          <w:tcPr>
            <w:tcW w:w="11930" w:type="dxa"/>
            <w:gridSpan w:val="11"/>
            <w:tcBorders>
              <w:top w:val="single" w:color="auto" w:sz="4" w:space="0"/>
              <w:left w:val="nil"/>
              <w:bottom w:val="single" w:color="auto" w:sz="4" w:space="0"/>
              <w:right w:val="single" w:color="000000" w:sz="4" w:space="0"/>
            </w:tcBorders>
            <w:shd w:val="clear" w:color="auto" w:fill="auto"/>
            <w:noWrap/>
            <w:vAlign w:val="center"/>
          </w:tcPr>
          <w:p w14:paraId="40C1B527">
            <w:pPr>
              <w:widowControl/>
              <w:jc w:val="center"/>
              <w:rPr>
                <w:rFonts w:ascii="宋体" w:hAnsi="宋体" w:cs="宋体"/>
                <w:kern w:val="0"/>
                <w:szCs w:val="21"/>
              </w:rPr>
            </w:pPr>
            <w:r>
              <w:rPr>
                <w:rFonts w:hint="eastAsia" w:ascii="宋体" w:hAnsi="宋体" w:cs="宋体"/>
                <w:kern w:val="0"/>
                <w:szCs w:val="21"/>
              </w:rPr>
              <w:t>数字经济实验室（国际经济学综合决策仿真实验）</w:t>
            </w:r>
          </w:p>
        </w:tc>
      </w:tr>
      <w:tr w14:paraId="1F836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2369" w:type="dxa"/>
            <w:gridSpan w:val="2"/>
            <w:vAlign w:val="center"/>
          </w:tcPr>
          <w:p w14:paraId="6F509574">
            <w:pPr>
              <w:jc w:val="center"/>
              <w:rPr>
                <w:szCs w:val="21"/>
              </w:rPr>
            </w:pPr>
            <w:r>
              <w:rPr>
                <w:rFonts w:hint="eastAsia"/>
                <w:szCs w:val="21"/>
              </w:rPr>
              <w:t>项目实施计划</w:t>
            </w:r>
          </w:p>
        </w:tc>
        <w:tc>
          <w:tcPr>
            <w:tcW w:w="11930" w:type="dxa"/>
            <w:gridSpan w:val="11"/>
            <w:vAlign w:val="center"/>
          </w:tcPr>
          <w:p w14:paraId="1A526505">
            <w:pPr>
              <w:numPr>
                <w:ilvl w:val="0"/>
                <w:numId w:val="15"/>
              </w:numPr>
              <w:ind w:left="0" w:firstLine="420"/>
              <w:rPr>
                <w:rFonts w:ascii="宋体" w:hAnsi="宋体" w:eastAsia="宋体" w:cs="宋体"/>
                <w:szCs w:val="30"/>
              </w:rPr>
            </w:pPr>
            <w:r>
              <w:rPr>
                <w:rFonts w:hint="eastAsia" w:ascii="宋体" w:hAnsi="宋体" w:eastAsia="宋体" w:cs="宋体"/>
                <w:szCs w:val="30"/>
              </w:rPr>
              <w:t>2022年9月完成认证</w:t>
            </w:r>
          </w:p>
          <w:p w14:paraId="208607E8">
            <w:pPr>
              <w:numPr>
                <w:ilvl w:val="0"/>
                <w:numId w:val="15"/>
              </w:numPr>
              <w:ind w:left="0" w:firstLine="420"/>
              <w:rPr>
                <w:rFonts w:ascii="宋体" w:hAnsi="宋体" w:eastAsia="宋体" w:cs="宋体"/>
                <w:szCs w:val="30"/>
              </w:rPr>
            </w:pPr>
            <w:r>
              <w:rPr>
                <w:rFonts w:hint="eastAsia" w:ascii="宋体" w:hAnsi="宋体" w:eastAsia="宋体" w:cs="宋体"/>
                <w:szCs w:val="30"/>
              </w:rPr>
              <w:t>2022年10月完成立项</w:t>
            </w:r>
          </w:p>
          <w:p w14:paraId="65EA7E0D">
            <w:pPr>
              <w:numPr>
                <w:ilvl w:val="0"/>
                <w:numId w:val="15"/>
              </w:numPr>
              <w:ind w:left="0" w:firstLine="420"/>
              <w:rPr>
                <w:rFonts w:ascii="宋体" w:hAnsi="宋体" w:eastAsia="宋体" w:cs="宋体"/>
                <w:szCs w:val="30"/>
              </w:rPr>
            </w:pPr>
            <w:r>
              <w:rPr>
                <w:rFonts w:hint="eastAsia" w:ascii="宋体" w:hAnsi="宋体" w:eastAsia="宋体" w:cs="宋体"/>
                <w:szCs w:val="30"/>
              </w:rPr>
              <w:t>2020年11月启动采购</w:t>
            </w:r>
          </w:p>
          <w:p w14:paraId="754535AD">
            <w:pPr>
              <w:numPr>
                <w:ilvl w:val="0"/>
                <w:numId w:val="15"/>
              </w:numPr>
              <w:ind w:left="0" w:firstLine="420"/>
              <w:rPr>
                <w:rFonts w:ascii="宋体" w:hAnsi="宋体" w:eastAsia="宋体" w:cs="宋体"/>
                <w:szCs w:val="30"/>
              </w:rPr>
            </w:pPr>
            <w:r>
              <w:rPr>
                <w:rFonts w:hint="eastAsia" w:ascii="宋体" w:hAnsi="宋体" w:eastAsia="宋体" w:cs="宋体"/>
                <w:szCs w:val="30"/>
              </w:rPr>
              <w:t>2022年12月完成招标采购</w:t>
            </w:r>
          </w:p>
          <w:p w14:paraId="087856DF">
            <w:pPr>
              <w:numPr>
                <w:ilvl w:val="0"/>
                <w:numId w:val="15"/>
              </w:numPr>
              <w:ind w:left="0" w:firstLine="420"/>
              <w:rPr>
                <w:rFonts w:ascii="宋体" w:hAnsi="宋体" w:eastAsia="宋体" w:cs="宋体"/>
                <w:szCs w:val="30"/>
              </w:rPr>
            </w:pPr>
            <w:r>
              <w:rPr>
                <w:rFonts w:hint="eastAsia" w:ascii="宋体" w:hAnsi="宋体" w:eastAsia="宋体" w:cs="宋体"/>
                <w:szCs w:val="30"/>
              </w:rPr>
              <w:t>2023年1月完成供货、培训与验收</w:t>
            </w:r>
          </w:p>
          <w:p w14:paraId="5D48A912">
            <w:pPr>
              <w:numPr>
                <w:ilvl w:val="0"/>
                <w:numId w:val="15"/>
              </w:numPr>
              <w:ind w:left="0" w:firstLine="420"/>
              <w:rPr>
                <w:rFonts w:ascii="宋体" w:hAnsi="宋体" w:eastAsia="宋体" w:cs="宋体"/>
                <w:szCs w:val="30"/>
              </w:rPr>
            </w:pPr>
            <w:r>
              <w:rPr>
                <w:rFonts w:hint="eastAsia" w:ascii="宋体" w:hAnsi="宋体" w:eastAsia="宋体" w:cs="宋体"/>
                <w:szCs w:val="30"/>
              </w:rPr>
              <w:t>2023年2月正式上课使用</w:t>
            </w:r>
          </w:p>
          <w:p w14:paraId="073E897C">
            <w:pPr>
              <w:jc w:val="center"/>
              <w:rPr>
                <w:szCs w:val="21"/>
              </w:rPr>
            </w:pPr>
          </w:p>
        </w:tc>
      </w:tr>
      <w:tr w14:paraId="3FC2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369" w:type="dxa"/>
            <w:gridSpan w:val="2"/>
            <w:vMerge w:val="restart"/>
            <w:vAlign w:val="center"/>
          </w:tcPr>
          <w:p w14:paraId="79629D1D">
            <w:pPr>
              <w:jc w:val="center"/>
              <w:rPr>
                <w:szCs w:val="21"/>
              </w:rPr>
            </w:pPr>
            <w:r>
              <w:rPr>
                <w:rFonts w:hint="eastAsia"/>
                <w:szCs w:val="21"/>
              </w:rPr>
              <w:t>资金支出计划（100%）</w:t>
            </w:r>
          </w:p>
        </w:tc>
        <w:tc>
          <w:tcPr>
            <w:tcW w:w="2976" w:type="dxa"/>
            <w:gridSpan w:val="4"/>
            <w:vAlign w:val="center"/>
          </w:tcPr>
          <w:p w14:paraId="3F58305F">
            <w:pPr>
              <w:jc w:val="center"/>
              <w:rPr>
                <w:szCs w:val="21"/>
              </w:rPr>
            </w:pPr>
            <w:r>
              <w:rPr>
                <w:rFonts w:hint="eastAsia"/>
                <w:szCs w:val="21"/>
              </w:rPr>
              <w:t>第一季度</w:t>
            </w:r>
          </w:p>
        </w:tc>
        <w:tc>
          <w:tcPr>
            <w:tcW w:w="2977" w:type="dxa"/>
            <w:gridSpan w:val="2"/>
            <w:vAlign w:val="center"/>
          </w:tcPr>
          <w:p w14:paraId="30B51E8F">
            <w:pPr>
              <w:jc w:val="center"/>
              <w:rPr>
                <w:szCs w:val="21"/>
              </w:rPr>
            </w:pPr>
            <w:r>
              <w:rPr>
                <w:rFonts w:hint="eastAsia"/>
                <w:szCs w:val="21"/>
              </w:rPr>
              <w:t>第二季度</w:t>
            </w:r>
          </w:p>
        </w:tc>
        <w:tc>
          <w:tcPr>
            <w:tcW w:w="2977" w:type="dxa"/>
            <w:gridSpan w:val="3"/>
            <w:vAlign w:val="center"/>
          </w:tcPr>
          <w:p w14:paraId="0A2CDAC1">
            <w:pPr>
              <w:jc w:val="center"/>
              <w:rPr>
                <w:szCs w:val="21"/>
              </w:rPr>
            </w:pPr>
            <w:r>
              <w:rPr>
                <w:rFonts w:hint="eastAsia"/>
                <w:szCs w:val="21"/>
              </w:rPr>
              <w:t>第三季度</w:t>
            </w:r>
          </w:p>
        </w:tc>
        <w:tc>
          <w:tcPr>
            <w:tcW w:w="3000" w:type="dxa"/>
            <w:gridSpan w:val="2"/>
            <w:vAlign w:val="center"/>
          </w:tcPr>
          <w:p w14:paraId="47DE26A6">
            <w:pPr>
              <w:jc w:val="center"/>
              <w:rPr>
                <w:szCs w:val="21"/>
              </w:rPr>
            </w:pPr>
            <w:r>
              <w:rPr>
                <w:rFonts w:hint="eastAsia"/>
                <w:szCs w:val="21"/>
              </w:rPr>
              <w:t>第四季度</w:t>
            </w:r>
          </w:p>
        </w:tc>
      </w:tr>
      <w:tr w14:paraId="4279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2369" w:type="dxa"/>
            <w:gridSpan w:val="2"/>
            <w:vMerge w:val="continue"/>
            <w:vAlign w:val="center"/>
          </w:tcPr>
          <w:p w14:paraId="61C609B6">
            <w:pPr>
              <w:jc w:val="center"/>
              <w:rPr>
                <w:szCs w:val="21"/>
              </w:rPr>
            </w:pPr>
          </w:p>
        </w:tc>
        <w:tc>
          <w:tcPr>
            <w:tcW w:w="2976" w:type="dxa"/>
            <w:gridSpan w:val="4"/>
            <w:vAlign w:val="center"/>
          </w:tcPr>
          <w:p w14:paraId="24BB325B">
            <w:pPr>
              <w:jc w:val="center"/>
              <w:rPr>
                <w:szCs w:val="21"/>
              </w:rPr>
            </w:pPr>
            <w:r>
              <w:rPr>
                <w:rFonts w:hint="eastAsia"/>
                <w:szCs w:val="21"/>
              </w:rPr>
              <w:t>该设备属于一次性采购，一次购买后即可作为我校终身资产，无需分季度投入。</w:t>
            </w:r>
          </w:p>
        </w:tc>
        <w:tc>
          <w:tcPr>
            <w:tcW w:w="2977" w:type="dxa"/>
            <w:gridSpan w:val="2"/>
            <w:vAlign w:val="center"/>
          </w:tcPr>
          <w:p w14:paraId="14FEBDBB">
            <w:pPr>
              <w:jc w:val="center"/>
              <w:rPr>
                <w:szCs w:val="21"/>
              </w:rPr>
            </w:pPr>
            <w:r>
              <w:rPr>
                <w:rFonts w:hint="eastAsia"/>
                <w:szCs w:val="21"/>
              </w:rPr>
              <w:t>该设备属于一次性采购，一次购买后即可作为我校终身资产，无需分季度投入。</w:t>
            </w:r>
          </w:p>
        </w:tc>
        <w:tc>
          <w:tcPr>
            <w:tcW w:w="2977" w:type="dxa"/>
            <w:gridSpan w:val="3"/>
            <w:vAlign w:val="center"/>
          </w:tcPr>
          <w:p w14:paraId="2D31C2C7">
            <w:pPr>
              <w:jc w:val="center"/>
              <w:rPr>
                <w:szCs w:val="21"/>
              </w:rPr>
            </w:pPr>
            <w:r>
              <w:rPr>
                <w:rFonts w:hint="eastAsia"/>
                <w:szCs w:val="21"/>
              </w:rPr>
              <w:t>该设备属于一次性采购，一次购买后即可作为我校终身资产，无需分季度投入。</w:t>
            </w:r>
          </w:p>
        </w:tc>
        <w:tc>
          <w:tcPr>
            <w:tcW w:w="3000" w:type="dxa"/>
            <w:gridSpan w:val="2"/>
            <w:vAlign w:val="center"/>
          </w:tcPr>
          <w:p w14:paraId="1BB819A6">
            <w:pPr>
              <w:jc w:val="center"/>
              <w:rPr>
                <w:szCs w:val="21"/>
              </w:rPr>
            </w:pPr>
            <w:r>
              <w:rPr>
                <w:rFonts w:hint="eastAsia"/>
                <w:szCs w:val="21"/>
              </w:rPr>
              <w:t>该设备属于一次性采购，一次购买后即可作为我校终身资产，无需分季度投入。</w:t>
            </w:r>
          </w:p>
        </w:tc>
      </w:tr>
      <w:tr w14:paraId="19A4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2376" w:type="dxa"/>
            <w:gridSpan w:val="3"/>
            <w:vAlign w:val="center"/>
          </w:tcPr>
          <w:p w14:paraId="60E1E053">
            <w:pPr>
              <w:jc w:val="center"/>
              <w:rPr>
                <w:szCs w:val="21"/>
              </w:rPr>
            </w:pPr>
            <w:r>
              <w:rPr>
                <w:rFonts w:hint="eastAsia"/>
                <w:szCs w:val="21"/>
              </w:rPr>
              <w:t>绩效目标</w:t>
            </w:r>
          </w:p>
        </w:tc>
        <w:tc>
          <w:tcPr>
            <w:tcW w:w="11923" w:type="dxa"/>
            <w:gridSpan w:val="10"/>
            <w:vAlign w:val="center"/>
          </w:tcPr>
          <w:p w14:paraId="75FA462D">
            <w:pPr>
              <w:numPr>
                <w:ilvl w:val="0"/>
                <w:numId w:val="16"/>
              </w:numPr>
              <w:outlineLvl w:val="1"/>
              <w:rPr>
                <w:rFonts w:ascii="宋体" w:hAnsi="宋体" w:eastAsia="宋体" w:cs="宋体"/>
                <w:b/>
                <w:bCs/>
                <w:szCs w:val="21"/>
                <w:lang w:bidi="ar"/>
              </w:rPr>
            </w:pPr>
            <w:r>
              <w:rPr>
                <w:rFonts w:hint="eastAsia" w:ascii="宋体" w:hAnsi="宋体" w:eastAsia="宋体" w:cs="宋体"/>
                <w:b/>
                <w:bCs/>
                <w:szCs w:val="21"/>
                <w:lang w:bidi="ar"/>
              </w:rPr>
              <w:t>阶段目标：提高教学效果；培养学生的学习习惯和主动学习的能力等</w:t>
            </w:r>
          </w:p>
          <w:p w14:paraId="177E8BA7">
            <w:pPr>
              <w:ind w:firstLine="420" w:firstLineChars="200"/>
              <w:rPr>
                <w:rFonts w:ascii="宋体" w:hAnsi="宋体" w:eastAsia="宋体" w:cs="宋体"/>
                <w:bCs/>
                <w:szCs w:val="21"/>
              </w:rPr>
            </w:pPr>
            <w:r>
              <w:rPr>
                <w:rFonts w:hint="eastAsia" w:ascii="宋体" w:hAnsi="宋体" w:eastAsia="宋体" w:cs="宋体"/>
                <w:bCs/>
                <w:szCs w:val="21"/>
              </w:rPr>
              <w:t>不仅可以弥补现有实训基地功能不足，而且可以拓宽专业发展方向，使专业实训项目更加优化，推进“项目导向、任务驱动”的教学设计，全面实施“教学做一体化”教学模式，提高教学效果。</w:t>
            </w:r>
          </w:p>
          <w:p w14:paraId="455BE4A9">
            <w:pPr>
              <w:ind w:firstLine="420" w:firstLineChars="200"/>
              <w:rPr>
                <w:rFonts w:ascii="宋体" w:hAnsi="宋体" w:eastAsia="宋体" w:cs="宋体"/>
                <w:bCs/>
                <w:szCs w:val="21"/>
              </w:rPr>
            </w:pPr>
            <w:r>
              <w:rPr>
                <w:rFonts w:hint="eastAsia" w:ascii="宋体" w:hAnsi="宋体" w:eastAsia="宋体" w:cs="宋体"/>
                <w:bCs/>
                <w:szCs w:val="21"/>
              </w:rPr>
              <w:t>培养学生良好的学习习惯：该项目的实验设计集体验式、趣味性、实战性为一体，学生由“要我学”转变成“我要学”，可以大大增强学生的学习能力、就业与创业的适应能力，提升学生的就业率。</w:t>
            </w:r>
          </w:p>
          <w:p w14:paraId="144AFEAC">
            <w:pPr>
              <w:numPr>
                <w:ilvl w:val="0"/>
                <w:numId w:val="16"/>
              </w:numPr>
              <w:outlineLvl w:val="1"/>
              <w:rPr>
                <w:rFonts w:ascii="宋体" w:hAnsi="宋体" w:eastAsia="宋体" w:cs="宋体"/>
                <w:b/>
                <w:bCs/>
                <w:szCs w:val="21"/>
                <w:lang w:bidi="ar"/>
              </w:rPr>
            </w:pPr>
            <w:r>
              <w:rPr>
                <w:rFonts w:hint="eastAsia" w:ascii="宋体" w:hAnsi="宋体" w:eastAsia="宋体" w:cs="宋体"/>
                <w:b/>
                <w:bCs/>
                <w:szCs w:val="21"/>
                <w:lang w:bidi="ar"/>
              </w:rPr>
              <w:t>总体目标：推动教学改革；促进竞赛成果的转化；提升应用型科研水平与能力</w:t>
            </w:r>
          </w:p>
          <w:p w14:paraId="09E1803C">
            <w:pPr>
              <w:numPr>
                <w:ilvl w:val="0"/>
                <w:numId w:val="17"/>
              </w:numPr>
              <w:ind w:hanging="5"/>
              <w:rPr>
                <w:rFonts w:ascii="宋体" w:hAnsi="宋体" w:eastAsia="宋体" w:cs="宋体"/>
                <w:bCs/>
                <w:szCs w:val="21"/>
              </w:rPr>
            </w:pPr>
            <w:r>
              <w:rPr>
                <w:rFonts w:hint="eastAsia" w:ascii="宋体" w:hAnsi="宋体" w:eastAsia="宋体" w:cs="宋体"/>
                <w:bCs/>
                <w:szCs w:val="21"/>
              </w:rPr>
              <w:t>建立了国际经济与贸易专业多课程实训实验教学平台</w:t>
            </w:r>
          </w:p>
          <w:p w14:paraId="1B642CEA">
            <w:pPr>
              <w:ind w:firstLine="420" w:firstLineChars="200"/>
              <w:rPr>
                <w:rFonts w:ascii="宋体" w:hAnsi="宋体" w:eastAsia="宋体" w:cs="宋体"/>
                <w:bCs/>
                <w:szCs w:val="21"/>
              </w:rPr>
            </w:pPr>
            <w:r>
              <w:rPr>
                <w:rFonts w:hint="eastAsia" w:ascii="宋体" w:hAnsi="宋体" w:eastAsia="宋体" w:cs="宋体"/>
                <w:bCs/>
                <w:szCs w:val="21"/>
              </w:rPr>
              <w:t>本项目融合了国际经济与贸易专业多门基础课和核心课，解决了长期困扰我们的多课程实训实验教学平台问题。</w:t>
            </w:r>
          </w:p>
          <w:p w14:paraId="06F6CFDE">
            <w:pPr>
              <w:numPr>
                <w:ilvl w:val="0"/>
                <w:numId w:val="17"/>
              </w:numPr>
              <w:ind w:hanging="5"/>
              <w:rPr>
                <w:rFonts w:ascii="宋体" w:hAnsi="宋体" w:eastAsia="宋体" w:cs="宋体"/>
                <w:bCs/>
                <w:szCs w:val="21"/>
              </w:rPr>
            </w:pPr>
            <w:r>
              <w:rPr>
                <w:rFonts w:hint="eastAsia" w:ascii="宋体" w:hAnsi="宋体" w:eastAsia="宋体" w:cs="宋体"/>
                <w:bCs/>
                <w:szCs w:val="21"/>
              </w:rPr>
              <w:t>填补了国际经济与贸易专业学生的决策型实训空白</w:t>
            </w:r>
          </w:p>
          <w:p w14:paraId="27B671D2">
            <w:pPr>
              <w:ind w:firstLine="420" w:firstLineChars="200"/>
              <w:rPr>
                <w:rFonts w:ascii="宋体" w:hAnsi="宋体" w:eastAsia="宋体" w:cs="宋体"/>
                <w:bCs/>
                <w:szCs w:val="21"/>
              </w:rPr>
            </w:pPr>
            <w:r>
              <w:rPr>
                <w:rFonts w:hint="eastAsia" w:ascii="宋体" w:hAnsi="宋体" w:eastAsia="宋体" w:cs="宋体"/>
                <w:bCs/>
                <w:szCs w:val="21"/>
              </w:rPr>
              <w:t>以前只有国际贸易系统流程与单据实验，完全不了解开放经济下宏观经济数据背后的意义，学生很多抱怨实验枯燥，通过该课程让学生切身感受到了国际经济学的学习乐趣，掌握了基本的决策思维。</w:t>
            </w:r>
          </w:p>
          <w:p w14:paraId="13A2C68C">
            <w:pPr>
              <w:numPr>
                <w:ilvl w:val="0"/>
                <w:numId w:val="17"/>
              </w:numPr>
              <w:ind w:hanging="5"/>
              <w:rPr>
                <w:rFonts w:ascii="宋体" w:hAnsi="宋体" w:eastAsia="宋体" w:cs="宋体"/>
                <w:bCs/>
                <w:szCs w:val="21"/>
              </w:rPr>
            </w:pPr>
            <w:r>
              <w:rPr>
                <w:rFonts w:hint="eastAsia" w:ascii="宋体" w:hAnsi="宋体" w:eastAsia="宋体" w:cs="宋体"/>
                <w:bCs/>
                <w:szCs w:val="21"/>
              </w:rPr>
              <w:t>提升了学生就业发展空间</w:t>
            </w:r>
          </w:p>
          <w:p w14:paraId="0CD73547">
            <w:pPr>
              <w:ind w:firstLine="420" w:firstLineChars="200"/>
              <w:rPr>
                <w:rFonts w:ascii="宋体" w:hAnsi="宋体" w:eastAsia="宋体" w:cs="宋体"/>
                <w:bCs/>
                <w:szCs w:val="21"/>
              </w:rPr>
            </w:pPr>
            <w:r>
              <w:rPr>
                <w:rFonts w:hint="eastAsia" w:ascii="宋体" w:hAnsi="宋体" w:eastAsia="宋体" w:cs="宋体"/>
                <w:bCs/>
                <w:szCs w:val="21"/>
              </w:rPr>
              <w:t>与没有开这门课相比，学生明显对开放经济条件下关税、出口补贴等政府措施对国际贸易的影响分析得更加全面，在面试时，能比较系统地讲出政府宏观措施对国际贸易的影响路径，如科技战、贸易战，也在开放经济中对政府各部门之间的业务关系、工作重点有良好的心得和体会，入职后的发展空间比其他院校大很多。</w:t>
            </w:r>
          </w:p>
          <w:p w14:paraId="6D5046A4">
            <w:pPr>
              <w:numPr>
                <w:ilvl w:val="0"/>
                <w:numId w:val="17"/>
              </w:numPr>
              <w:ind w:hanging="5"/>
              <w:rPr>
                <w:rFonts w:ascii="宋体" w:hAnsi="宋体" w:eastAsia="宋体" w:cs="宋体"/>
                <w:bCs/>
                <w:szCs w:val="21"/>
              </w:rPr>
            </w:pPr>
            <w:r>
              <w:rPr>
                <w:rFonts w:hint="eastAsia" w:ascii="宋体" w:hAnsi="宋体" w:eastAsia="宋体" w:cs="宋体"/>
                <w:bCs/>
                <w:szCs w:val="21"/>
              </w:rPr>
              <w:t>为学院申报各项教学成果打下基础</w:t>
            </w:r>
          </w:p>
          <w:p w14:paraId="1F07FF6F">
            <w:pPr>
              <w:ind w:firstLine="420" w:firstLineChars="200"/>
              <w:rPr>
                <w:szCs w:val="21"/>
              </w:rPr>
            </w:pPr>
            <w:r>
              <w:rPr>
                <w:rFonts w:hint="eastAsia" w:ascii="宋体" w:hAnsi="宋体" w:eastAsia="宋体" w:cs="宋体"/>
                <w:bCs/>
                <w:szCs w:val="21"/>
              </w:rPr>
              <w:t>产品售后服务支持包括金牌教师发展支持、省级国家级教改项目申报支持、省级国家级实验示范中心申报支持、省级国家级示范院校建设申报支持、特色专业/新增专业申报、实训实验基地建设支持、教学成果申报支持、教材出版支持。</w:t>
            </w:r>
          </w:p>
        </w:tc>
      </w:tr>
      <w:tr w14:paraId="6011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376" w:type="dxa"/>
            <w:gridSpan w:val="3"/>
            <w:vMerge w:val="restart"/>
            <w:vAlign w:val="center"/>
          </w:tcPr>
          <w:p w14:paraId="4C18A818">
            <w:pPr>
              <w:jc w:val="center"/>
              <w:rPr>
                <w:szCs w:val="21"/>
              </w:rPr>
            </w:pPr>
            <w:r>
              <w:rPr>
                <w:rFonts w:hint="eastAsia"/>
                <w:szCs w:val="21"/>
              </w:rPr>
              <w:t>绩效指标分类</w:t>
            </w:r>
          </w:p>
        </w:tc>
        <w:tc>
          <w:tcPr>
            <w:tcW w:w="1277" w:type="dxa"/>
            <w:vMerge w:val="restart"/>
            <w:vAlign w:val="center"/>
          </w:tcPr>
          <w:p w14:paraId="46C4B998">
            <w:pPr>
              <w:jc w:val="center"/>
              <w:rPr>
                <w:szCs w:val="21"/>
              </w:rPr>
            </w:pPr>
            <w:r>
              <w:rPr>
                <w:rFonts w:hint="eastAsia"/>
                <w:szCs w:val="21"/>
              </w:rPr>
              <w:t>绩效指标</w:t>
            </w:r>
          </w:p>
        </w:tc>
        <w:tc>
          <w:tcPr>
            <w:tcW w:w="1620" w:type="dxa"/>
            <w:vMerge w:val="restart"/>
            <w:vAlign w:val="center"/>
          </w:tcPr>
          <w:p w14:paraId="0A9D329D">
            <w:pPr>
              <w:jc w:val="center"/>
              <w:rPr>
                <w:szCs w:val="21"/>
              </w:rPr>
            </w:pPr>
            <w:r>
              <w:rPr>
                <w:rFonts w:hint="eastAsia"/>
                <w:szCs w:val="21"/>
              </w:rPr>
              <w:t>绩效指标描述</w:t>
            </w:r>
          </w:p>
        </w:tc>
        <w:tc>
          <w:tcPr>
            <w:tcW w:w="7080" w:type="dxa"/>
            <w:gridSpan w:val="7"/>
            <w:vAlign w:val="center"/>
          </w:tcPr>
          <w:p w14:paraId="21ECF408">
            <w:pPr>
              <w:jc w:val="center"/>
              <w:rPr>
                <w:szCs w:val="21"/>
              </w:rPr>
            </w:pPr>
            <w:r>
              <w:rPr>
                <w:rFonts w:hint="eastAsia"/>
                <w:szCs w:val="21"/>
              </w:rPr>
              <w:t>绩效指标评价标准</w:t>
            </w:r>
          </w:p>
        </w:tc>
        <w:tc>
          <w:tcPr>
            <w:tcW w:w="1946" w:type="dxa"/>
            <w:vMerge w:val="restart"/>
            <w:vAlign w:val="center"/>
          </w:tcPr>
          <w:p w14:paraId="20FE546A">
            <w:pPr>
              <w:jc w:val="center"/>
              <w:rPr>
                <w:szCs w:val="21"/>
              </w:rPr>
            </w:pPr>
            <w:r>
              <w:rPr>
                <w:rFonts w:hint="eastAsia"/>
                <w:szCs w:val="21"/>
              </w:rPr>
              <w:t>评价标准确定依据</w:t>
            </w:r>
          </w:p>
        </w:tc>
      </w:tr>
      <w:tr w14:paraId="5FDA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376" w:type="dxa"/>
            <w:gridSpan w:val="3"/>
            <w:vMerge w:val="continue"/>
            <w:vAlign w:val="center"/>
          </w:tcPr>
          <w:p w14:paraId="1AC91707">
            <w:pPr>
              <w:jc w:val="center"/>
              <w:rPr>
                <w:szCs w:val="21"/>
              </w:rPr>
            </w:pPr>
          </w:p>
        </w:tc>
        <w:tc>
          <w:tcPr>
            <w:tcW w:w="1277" w:type="dxa"/>
            <w:vMerge w:val="continue"/>
            <w:vAlign w:val="center"/>
          </w:tcPr>
          <w:p w14:paraId="3B986418">
            <w:pPr>
              <w:jc w:val="center"/>
              <w:rPr>
                <w:szCs w:val="21"/>
              </w:rPr>
            </w:pPr>
          </w:p>
        </w:tc>
        <w:tc>
          <w:tcPr>
            <w:tcW w:w="1620" w:type="dxa"/>
            <w:vMerge w:val="continue"/>
            <w:vAlign w:val="center"/>
          </w:tcPr>
          <w:p w14:paraId="0694FD53">
            <w:pPr>
              <w:jc w:val="center"/>
              <w:rPr>
                <w:szCs w:val="21"/>
              </w:rPr>
            </w:pPr>
          </w:p>
        </w:tc>
        <w:tc>
          <w:tcPr>
            <w:tcW w:w="1710" w:type="dxa"/>
            <w:gridSpan w:val="2"/>
            <w:vAlign w:val="center"/>
          </w:tcPr>
          <w:p w14:paraId="0E62E8FA">
            <w:pPr>
              <w:jc w:val="center"/>
              <w:rPr>
                <w:szCs w:val="21"/>
              </w:rPr>
            </w:pPr>
            <w:r>
              <w:rPr>
                <w:rFonts w:hint="eastAsia"/>
                <w:szCs w:val="21"/>
              </w:rPr>
              <w:t>优</w:t>
            </w:r>
          </w:p>
        </w:tc>
        <w:tc>
          <w:tcPr>
            <w:tcW w:w="1770" w:type="dxa"/>
            <w:gridSpan w:val="2"/>
            <w:vAlign w:val="center"/>
          </w:tcPr>
          <w:p w14:paraId="5E933CDB">
            <w:pPr>
              <w:jc w:val="center"/>
              <w:rPr>
                <w:szCs w:val="21"/>
              </w:rPr>
            </w:pPr>
            <w:r>
              <w:rPr>
                <w:rFonts w:hint="eastAsia"/>
                <w:szCs w:val="21"/>
              </w:rPr>
              <w:t>良</w:t>
            </w:r>
          </w:p>
        </w:tc>
        <w:tc>
          <w:tcPr>
            <w:tcW w:w="1842" w:type="dxa"/>
            <w:vAlign w:val="center"/>
          </w:tcPr>
          <w:p w14:paraId="05446B05">
            <w:pPr>
              <w:jc w:val="center"/>
              <w:rPr>
                <w:szCs w:val="21"/>
              </w:rPr>
            </w:pPr>
            <w:r>
              <w:rPr>
                <w:rFonts w:hint="eastAsia"/>
                <w:szCs w:val="21"/>
              </w:rPr>
              <w:t>中</w:t>
            </w:r>
          </w:p>
        </w:tc>
        <w:tc>
          <w:tcPr>
            <w:tcW w:w="1758" w:type="dxa"/>
            <w:gridSpan w:val="2"/>
            <w:vAlign w:val="center"/>
          </w:tcPr>
          <w:p w14:paraId="4FBA8EB6">
            <w:pPr>
              <w:jc w:val="center"/>
              <w:rPr>
                <w:szCs w:val="21"/>
              </w:rPr>
            </w:pPr>
            <w:r>
              <w:rPr>
                <w:rFonts w:hint="eastAsia"/>
                <w:szCs w:val="21"/>
              </w:rPr>
              <w:t>差</w:t>
            </w:r>
          </w:p>
        </w:tc>
        <w:tc>
          <w:tcPr>
            <w:tcW w:w="1946" w:type="dxa"/>
            <w:vMerge w:val="continue"/>
            <w:vAlign w:val="center"/>
          </w:tcPr>
          <w:p w14:paraId="3BBC8977">
            <w:pPr>
              <w:jc w:val="center"/>
              <w:rPr>
                <w:szCs w:val="21"/>
              </w:rPr>
            </w:pPr>
          </w:p>
        </w:tc>
      </w:tr>
      <w:tr w14:paraId="001A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440" w:type="dxa"/>
            <w:vAlign w:val="center"/>
          </w:tcPr>
          <w:p w14:paraId="35DBC22D">
            <w:pPr>
              <w:jc w:val="center"/>
              <w:rPr>
                <w:rFonts w:ascii="宋体" w:hAnsi="宋体" w:eastAsia="宋体" w:cs="宋体"/>
                <w:szCs w:val="21"/>
              </w:rPr>
            </w:pPr>
            <w:r>
              <w:rPr>
                <w:rFonts w:hint="eastAsia" w:ascii="宋体" w:hAnsi="宋体" w:eastAsia="宋体" w:cs="宋体"/>
                <w:szCs w:val="21"/>
              </w:rPr>
              <w:t>1</w:t>
            </w:r>
          </w:p>
        </w:tc>
        <w:tc>
          <w:tcPr>
            <w:tcW w:w="1936" w:type="dxa"/>
            <w:gridSpan w:val="2"/>
            <w:vAlign w:val="center"/>
          </w:tcPr>
          <w:p w14:paraId="3B7B7EFC">
            <w:pPr>
              <w:jc w:val="center"/>
              <w:rPr>
                <w:rFonts w:ascii="宋体" w:hAnsi="宋体" w:eastAsia="宋体" w:cs="宋体"/>
                <w:szCs w:val="21"/>
              </w:rPr>
            </w:pPr>
            <w:r>
              <w:rPr>
                <w:rFonts w:hint="eastAsia" w:ascii="宋体" w:hAnsi="宋体" w:eastAsia="宋体" w:cs="宋体"/>
                <w:szCs w:val="21"/>
              </w:rPr>
              <w:t>产出指标</w:t>
            </w:r>
          </w:p>
        </w:tc>
        <w:tc>
          <w:tcPr>
            <w:tcW w:w="1277" w:type="dxa"/>
            <w:vAlign w:val="center"/>
          </w:tcPr>
          <w:p w14:paraId="79501092">
            <w:pPr>
              <w:jc w:val="center"/>
              <w:rPr>
                <w:rFonts w:ascii="宋体" w:hAnsi="宋体" w:eastAsia="宋体" w:cs="宋体"/>
                <w:szCs w:val="21"/>
              </w:rPr>
            </w:pPr>
            <w:r>
              <w:rPr>
                <w:rFonts w:hint="eastAsia" w:ascii="宋体" w:hAnsi="宋体" w:eastAsia="宋体" w:cs="宋体"/>
                <w:szCs w:val="21"/>
              </w:rPr>
              <w:t>数量指标、质量指标</w:t>
            </w:r>
          </w:p>
        </w:tc>
        <w:tc>
          <w:tcPr>
            <w:tcW w:w="1620" w:type="dxa"/>
            <w:vAlign w:val="center"/>
          </w:tcPr>
          <w:p w14:paraId="389AF922">
            <w:pPr>
              <w:jc w:val="left"/>
              <w:rPr>
                <w:rFonts w:ascii="宋体" w:hAnsi="宋体" w:eastAsia="宋体" w:cs="宋体"/>
                <w:szCs w:val="21"/>
              </w:rPr>
            </w:pPr>
            <w:r>
              <w:rPr>
                <w:rFonts w:hint="eastAsia" w:ascii="宋体" w:hAnsi="宋体" w:eastAsia="宋体" w:cs="宋体"/>
                <w:szCs w:val="21"/>
              </w:rPr>
              <w:t>数量指标:每学年承担实验教学计划内学时数(48课时×班级数量)、上课人数</w:t>
            </w:r>
          </w:p>
          <w:p w14:paraId="01AA796E">
            <w:pPr>
              <w:jc w:val="left"/>
              <w:rPr>
                <w:rFonts w:ascii="宋体" w:hAnsi="宋体" w:eastAsia="宋体" w:cs="宋体"/>
                <w:szCs w:val="21"/>
              </w:rPr>
            </w:pPr>
            <w:r>
              <w:rPr>
                <w:rFonts w:hint="eastAsia" w:ascii="宋体" w:hAnsi="宋体" w:eastAsia="宋体" w:cs="宋体"/>
                <w:szCs w:val="21"/>
              </w:rPr>
              <w:t>质量指标：新开实训课程的培训完成率</w:t>
            </w:r>
          </w:p>
        </w:tc>
        <w:tc>
          <w:tcPr>
            <w:tcW w:w="1710" w:type="dxa"/>
            <w:gridSpan w:val="2"/>
            <w:vAlign w:val="center"/>
          </w:tcPr>
          <w:p w14:paraId="335314C6">
            <w:pPr>
              <w:jc w:val="left"/>
              <w:rPr>
                <w:rFonts w:ascii="宋体" w:hAnsi="宋体" w:eastAsia="宋体" w:cs="宋体"/>
                <w:szCs w:val="21"/>
              </w:rPr>
            </w:pPr>
            <w:r>
              <w:rPr>
                <w:rFonts w:hint="eastAsia" w:ascii="宋体" w:hAnsi="宋体" w:eastAsia="宋体" w:cs="宋体"/>
                <w:szCs w:val="21"/>
              </w:rPr>
              <w:t>每学年承担实验教学计划内学时数(48课时×班级数量)≥192</w:t>
            </w:r>
          </w:p>
          <w:p w14:paraId="76226AD1">
            <w:pPr>
              <w:jc w:val="left"/>
              <w:rPr>
                <w:rFonts w:ascii="宋体" w:hAnsi="宋体" w:eastAsia="宋体" w:cs="宋体"/>
                <w:szCs w:val="21"/>
              </w:rPr>
            </w:pPr>
            <w:r>
              <w:rPr>
                <w:rFonts w:hint="eastAsia" w:ascii="宋体" w:hAnsi="宋体" w:eastAsia="宋体" w:cs="宋体"/>
                <w:szCs w:val="21"/>
              </w:rPr>
              <w:t>上课人数≥300</w:t>
            </w:r>
          </w:p>
          <w:p w14:paraId="4C67D6D7">
            <w:pPr>
              <w:jc w:val="left"/>
              <w:rPr>
                <w:rFonts w:ascii="宋体" w:hAnsi="宋体" w:eastAsia="宋体" w:cs="宋体"/>
                <w:szCs w:val="21"/>
              </w:rPr>
            </w:pPr>
            <w:r>
              <w:rPr>
                <w:rFonts w:hint="eastAsia" w:ascii="宋体" w:hAnsi="宋体" w:eastAsia="宋体" w:cs="宋体"/>
                <w:szCs w:val="21"/>
              </w:rPr>
              <w:t>新开实训课程的培训完成率=100%</w:t>
            </w:r>
          </w:p>
        </w:tc>
        <w:tc>
          <w:tcPr>
            <w:tcW w:w="1770" w:type="dxa"/>
            <w:gridSpan w:val="2"/>
            <w:vAlign w:val="center"/>
          </w:tcPr>
          <w:p w14:paraId="1AF1F0B3">
            <w:pPr>
              <w:jc w:val="left"/>
              <w:rPr>
                <w:rFonts w:ascii="宋体" w:hAnsi="宋体" w:eastAsia="宋体" w:cs="宋体"/>
                <w:szCs w:val="21"/>
              </w:rPr>
            </w:pPr>
            <w:r>
              <w:rPr>
                <w:rFonts w:hint="eastAsia" w:ascii="宋体" w:hAnsi="宋体" w:eastAsia="宋体" w:cs="宋体"/>
                <w:szCs w:val="21"/>
              </w:rPr>
              <w:t>144≤每学年承担实验教学计划内学时数(48课时×班级数量)&lt;192</w:t>
            </w:r>
          </w:p>
          <w:p w14:paraId="6E3EEE1E">
            <w:pPr>
              <w:jc w:val="left"/>
              <w:rPr>
                <w:rFonts w:ascii="宋体" w:hAnsi="宋体" w:eastAsia="宋体" w:cs="宋体"/>
                <w:szCs w:val="21"/>
              </w:rPr>
            </w:pPr>
            <w:r>
              <w:rPr>
                <w:rFonts w:hint="eastAsia" w:ascii="宋体" w:hAnsi="宋体" w:eastAsia="宋体" w:cs="宋体"/>
                <w:szCs w:val="21"/>
              </w:rPr>
              <w:t>250≤上课人数&lt;300</w:t>
            </w:r>
          </w:p>
          <w:p w14:paraId="1B9ED0A5">
            <w:pPr>
              <w:jc w:val="left"/>
              <w:rPr>
                <w:rFonts w:ascii="宋体" w:hAnsi="宋体" w:eastAsia="宋体" w:cs="宋体"/>
                <w:szCs w:val="21"/>
              </w:rPr>
            </w:pPr>
            <w:r>
              <w:rPr>
                <w:rFonts w:hint="eastAsia" w:ascii="宋体" w:hAnsi="宋体" w:eastAsia="宋体" w:cs="宋体"/>
                <w:szCs w:val="21"/>
              </w:rPr>
              <w:t>新开实训课程的培训完成率≤95%</w:t>
            </w:r>
          </w:p>
        </w:tc>
        <w:tc>
          <w:tcPr>
            <w:tcW w:w="1842" w:type="dxa"/>
            <w:vAlign w:val="center"/>
          </w:tcPr>
          <w:p w14:paraId="0C5D311D">
            <w:pPr>
              <w:jc w:val="left"/>
              <w:rPr>
                <w:rFonts w:ascii="宋体" w:hAnsi="宋体" w:eastAsia="宋体" w:cs="宋体"/>
                <w:szCs w:val="21"/>
              </w:rPr>
            </w:pPr>
            <w:r>
              <w:rPr>
                <w:rFonts w:hint="eastAsia" w:ascii="宋体" w:hAnsi="宋体" w:eastAsia="宋体" w:cs="宋体"/>
                <w:szCs w:val="21"/>
              </w:rPr>
              <w:t>96≤每学年承担实验教学计划内学时数(48课时×班级数量)&lt;144</w:t>
            </w:r>
          </w:p>
          <w:p w14:paraId="55AA08F2">
            <w:pPr>
              <w:jc w:val="left"/>
              <w:rPr>
                <w:rFonts w:ascii="宋体" w:hAnsi="宋体" w:eastAsia="宋体" w:cs="宋体"/>
                <w:szCs w:val="21"/>
              </w:rPr>
            </w:pPr>
            <w:r>
              <w:rPr>
                <w:rFonts w:hint="eastAsia" w:ascii="宋体" w:hAnsi="宋体" w:eastAsia="宋体" w:cs="宋体"/>
                <w:szCs w:val="21"/>
              </w:rPr>
              <w:t>200≤上课人数&lt;250</w:t>
            </w:r>
          </w:p>
          <w:p w14:paraId="1D3E368E">
            <w:pPr>
              <w:jc w:val="left"/>
              <w:rPr>
                <w:rFonts w:ascii="宋体" w:hAnsi="宋体" w:eastAsia="宋体" w:cs="宋体"/>
                <w:szCs w:val="21"/>
              </w:rPr>
            </w:pPr>
            <w:r>
              <w:rPr>
                <w:rFonts w:hint="eastAsia" w:ascii="宋体" w:hAnsi="宋体" w:eastAsia="宋体" w:cs="宋体"/>
                <w:szCs w:val="21"/>
              </w:rPr>
              <w:t>新开实训课程的培训完成率≤90%</w:t>
            </w:r>
          </w:p>
        </w:tc>
        <w:tc>
          <w:tcPr>
            <w:tcW w:w="1758" w:type="dxa"/>
            <w:gridSpan w:val="2"/>
            <w:vAlign w:val="center"/>
          </w:tcPr>
          <w:p w14:paraId="2C560A9A">
            <w:pPr>
              <w:jc w:val="left"/>
              <w:rPr>
                <w:rFonts w:ascii="宋体" w:hAnsi="宋体" w:eastAsia="宋体" w:cs="宋体"/>
                <w:szCs w:val="21"/>
              </w:rPr>
            </w:pPr>
            <w:r>
              <w:rPr>
                <w:rFonts w:hint="eastAsia" w:ascii="宋体" w:hAnsi="宋体" w:eastAsia="宋体" w:cs="宋体"/>
                <w:szCs w:val="21"/>
              </w:rPr>
              <w:t>48≤每学年承担实验教学计划内学时数(48课时×班级数量)&lt;96</w:t>
            </w:r>
          </w:p>
          <w:p w14:paraId="44A9A23F">
            <w:pPr>
              <w:jc w:val="left"/>
              <w:rPr>
                <w:rFonts w:ascii="宋体" w:hAnsi="宋体" w:eastAsia="宋体" w:cs="宋体"/>
                <w:szCs w:val="21"/>
              </w:rPr>
            </w:pPr>
            <w:r>
              <w:rPr>
                <w:rFonts w:hint="eastAsia" w:ascii="宋体" w:hAnsi="宋体" w:eastAsia="宋体" w:cs="宋体"/>
                <w:szCs w:val="21"/>
              </w:rPr>
              <w:t>150≤上课人数&lt;200</w:t>
            </w:r>
          </w:p>
          <w:p w14:paraId="343E8B6C">
            <w:pPr>
              <w:jc w:val="left"/>
              <w:rPr>
                <w:rFonts w:ascii="宋体" w:hAnsi="宋体" w:eastAsia="宋体" w:cs="宋体"/>
                <w:szCs w:val="21"/>
              </w:rPr>
            </w:pPr>
            <w:r>
              <w:rPr>
                <w:rFonts w:hint="eastAsia" w:ascii="宋体" w:hAnsi="宋体" w:eastAsia="宋体" w:cs="宋体"/>
                <w:szCs w:val="21"/>
              </w:rPr>
              <w:t>新开实训课程的培训完成率≤85%</w:t>
            </w:r>
          </w:p>
        </w:tc>
        <w:tc>
          <w:tcPr>
            <w:tcW w:w="1946" w:type="dxa"/>
            <w:vAlign w:val="center"/>
          </w:tcPr>
          <w:p w14:paraId="00BC24CF">
            <w:pPr>
              <w:jc w:val="center"/>
              <w:rPr>
                <w:rFonts w:ascii="宋体" w:hAnsi="宋体" w:eastAsia="宋体" w:cs="宋体"/>
                <w:szCs w:val="21"/>
              </w:rPr>
            </w:pPr>
            <w:r>
              <w:rPr>
                <w:rFonts w:hint="eastAsia" w:ascii="宋体" w:hAnsi="宋体" w:eastAsia="宋体" w:cs="宋体"/>
                <w:szCs w:val="21"/>
              </w:rPr>
              <w:t>根据立项依据及政策简要说明和绩效目标要求</w:t>
            </w:r>
          </w:p>
          <w:p w14:paraId="4622CD9D">
            <w:pPr>
              <w:jc w:val="center"/>
              <w:rPr>
                <w:rFonts w:ascii="宋体" w:hAnsi="宋体" w:eastAsia="宋体" w:cs="宋体"/>
                <w:szCs w:val="21"/>
              </w:rPr>
            </w:pPr>
          </w:p>
        </w:tc>
      </w:tr>
      <w:tr w14:paraId="784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40" w:type="dxa"/>
            <w:vAlign w:val="center"/>
          </w:tcPr>
          <w:p w14:paraId="454B9518">
            <w:pPr>
              <w:jc w:val="center"/>
              <w:rPr>
                <w:rFonts w:ascii="宋体" w:hAnsi="宋体" w:eastAsia="宋体" w:cs="宋体"/>
                <w:szCs w:val="21"/>
              </w:rPr>
            </w:pPr>
            <w:r>
              <w:rPr>
                <w:rFonts w:hint="eastAsia" w:ascii="宋体" w:hAnsi="宋体" w:eastAsia="宋体" w:cs="宋体"/>
                <w:szCs w:val="21"/>
              </w:rPr>
              <w:t>2</w:t>
            </w:r>
          </w:p>
        </w:tc>
        <w:tc>
          <w:tcPr>
            <w:tcW w:w="1936" w:type="dxa"/>
            <w:gridSpan w:val="2"/>
            <w:vAlign w:val="center"/>
          </w:tcPr>
          <w:p w14:paraId="4DCEED7C">
            <w:pPr>
              <w:jc w:val="center"/>
              <w:rPr>
                <w:rFonts w:ascii="宋体" w:hAnsi="宋体" w:eastAsia="宋体" w:cs="宋体"/>
                <w:szCs w:val="21"/>
              </w:rPr>
            </w:pPr>
            <w:r>
              <w:rPr>
                <w:rFonts w:hint="eastAsia" w:ascii="宋体" w:hAnsi="宋体" w:eastAsia="宋体" w:cs="宋体"/>
                <w:szCs w:val="21"/>
              </w:rPr>
              <w:t>效果指标</w:t>
            </w:r>
          </w:p>
        </w:tc>
        <w:tc>
          <w:tcPr>
            <w:tcW w:w="1277" w:type="dxa"/>
            <w:vAlign w:val="center"/>
          </w:tcPr>
          <w:p w14:paraId="2AFDF995">
            <w:pPr>
              <w:jc w:val="center"/>
              <w:rPr>
                <w:rFonts w:ascii="宋体" w:hAnsi="宋体" w:eastAsia="宋体" w:cs="宋体"/>
                <w:szCs w:val="21"/>
              </w:rPr>
            </w:pPr>
            <w:r>
              <w:rPr>
                <w:rFonts w:hint="eastAsia" w:ascii="宋体" w:hAnsi="宋体" w:eastAsia="宋体" w:cs="宋体"/>
                <w:szCs w:val="21"/>
              </w:rPr>
              <w:t>经济效益指标、社会效益指标</w:t>
            </w:r>
          </w:p>
        </w:tc>
        <w:tc>
          <w:tcPr>
            <w:tcW w:w="1620" w:type="dxa"/>
            <w:vAlign w:val="center"/>
          </w:tcPr>
          <w:p w14:paraId="6EDC32B9">
            <w:pPr>
              <w:jc w:val="left"/>
              <w:rPr>
                <w:rFonts w:ascii="宋体" w:hAnsi="宋体" w:eastAsia="宋体" w:cs="宋体"/>
                <w:szCs w:val="21"/>
              </w:rPr>
            </w:pPr>
            <w:r>
              <w:rPr>
                <w:rFonts w:hint="eastAsia" w:ascii="宋体" w:hAnsi="宋体" w:eastAsia="宋体" w:cs="宋体"/>
                <w:szCs w:val="21"/>
              </w:rPr>
              <w:t>经济效益指标：增加实践教学环节、支撑实验课程门数</w:t>
            </w:r>
          </w:p>
          <w:p w14:paraId="48FA2AC7">
            <w:pPr>
              <w:jc w:val="left"/>
              <w:rPr>
                <w:rFonts w:ascii="宋体" w:hAnsi="宋体" w:eastAsia="宋体" w:cs="宋体"/>
                <w:szCs w:val="21"/>
              </w:rPr>
            </w:pPr>
            <w:r>
              <w:rPr>
                <w:rFonts w:hint="eastAsia" w:ascii="宋体" w:hAnsi="宋体" w:eastAsia="宋体" w:cs="宋体"/>
                <w:szCs w:val="21"/>
              </w:rPr>
              <w:t>社会效益指标：可作为开发平台，对外服务，服务人数</w:t>
            </w:r>
          </w:p>
        </w:tc>
        <w:tc>
          <w:tcPr>
            <w:tcW w:w="1710" w:type="dxa"/>
            <w:gridSpan w:val="2"/>
            <w:vAlign w:val="center"/>
          </w:tcPr>
          <w:p w14:paraId="7FC19F18">
            <w:pPr>
              <w:jc w:val="left"/>
            </w:pPr>
            <w:r>
              <w:rPr>
                <w:rFonts w:hint="eastAsia"/>
              </w:rPr>
              <w:t>增加实践教学环节8个、支撑实验课程门数1门</w:t>
            </w:r>
          </w:p>
          <w:p w14:paraId="03E22293">
            <w:pPr>
              <w:pStyle w:val="8"/>
              <w:rPr>
                <w:rFonts w:ascii="宋体" w:hAnsi="宋体" w:eastAsia="宋体" w:cs="宋体"/>
                <w:sz w:val="21"/>
                <w:szCs w:val="21"/>
              </w:rPr>
            </w:pPr>
            <w:r>
              <w:rPr>
                <w:rFonts w:hint="eastAsia" w:ascii="宋体" w:hAnsi="宋体" w:eastAsia="宋体" w:cs="宋体"/>
                <w:sz w:val="21"/>
                <w:szCs w:val="21"/>
              </w:rPr>
              <w:t>可作为开发平台，对外服务，服务人数≥1000</w:t>
            </w:r>
          </w:p>
        </w:tc>
        <w:tc>
          <w:tcPr>
            <w:tcW w:w="1770" w:type="dxa"/>
            <w:gridSpan w:val="2"/>
            <w:vAlign w:val="center"/>
          </w:tcPr>
          <w:p w14:paraId="3E31C694">
            <w:pPr>
              <w:jc w:val="left"/>
            </w:pPr>
            <w:r>
              <w:rPr>
                <w:rFonts w:hint="eastAsia"/>
              </w:rPr>
              <w:t>增加实践教学环节7个、支撑实验课程门数1门</w:t>
            </w:r>
          </w:p>
          <w:p w14:paraId="7B1D41D6">
            <w:pPr>
              <w:jc w:val="left"/>
              <w:rPr>
                <w:rFonts w:ascii="宋体" w:hAnsi="宋体" w:eastAsia="宋体" w:cs="宋体"/>
                <w:szCs w:val="21"/>
              </w:rPr>
            </w:pPr>
            <w:r>
              <w:rPr>
                <w:rFonts w:hint="eastAsia" w:ascii="宋体" w:hAnsi="宋体" w:eastAsia="宋体" w:cs="宋体"/>
                <w:szCs w:val="21"/>
              </w:rPr>
              <w:t>可作为开发平台，对外服务，900≤服务人数&lt;1000</w:t>
            </w:r>
          </w:p>
        </w:tc>
        <w:tc>
          <w:tcPr>
            <w:tcW w:w="1842" w:type="dxa"/>
            <w:vAlign w:val="center"/>
          </w:tcPr>
          <w:p w14:paraId="182493AE">
            <w:pPr>
              <w:jc w:val="left"/>
            </w:pPr>
            <w:r>
              <w:rPr>
                <w:rFonts w:hint="eastAsia"/>
              </w:rPr>
              <w:t>增加实践教学环节6个、支撑实验课程门数0门</w:t>
            </w:r>
          </w:p>
          <w:p w14:paraId="08A27308">
            <w:pPr>
              <w:jc w:val="left"/>
              <w:rPr>
                <w:rFonts w:ascii="宋体" w:hAnsi="宋体" w:eastAsia="宋体" w:cs="宋体"/>
                <w:szCs w:val="21"/>
              </w:rPr>
            </w:pPr>
            <w:r>
              <w:rPr>
                <w:rFonts w:hint="eastAsia" w:ascii="宋体" w:hAnsi="宋体" w:eastAsia="宋体" w:cs="宋体"/>
                <w:szCs w:val="21"/>
              </w:rPr>
              <w:t>可作为开发平台，对外服务，800≤服务人数&lt;900</w:t>
            </w:r>
          </w:p>
        </w:tc>
        <w:tc>
          <w:tcPr>
            <w:tcW w:w="1758" w:type="dxa"/>
            <w:gridSpan w:val="2"/>
            <w:vAlign w:val="center"/>
          </w:tcPr>
          <w:p w14:paraId="2A4944CB">
            <w:pPr>
              <w:jc w:val="left"/>
            </w:pPr>
            <w:r>
              <w:rPr>
                <w:rFonts w:hint="eastAsia"/>
              </w:rPr>
              <w:t>增加实践教学环节5个、支撑实验课程门数0门</w:t>
            </w:r>
          </w:p>
          <w:p w14:paraId="6AF4D673">
            <w:pPr>
              <w:jc w:val="left"/>
              <w:rPr>
                <w:rFonts w:ascii="宋体" w:hAnsi="宋体" w:eastAsia="宋体" w:cs="宋体"/>
                <w:szCs w:val="21"/>
              </w:rPr>
            </w:pPr>
            <w:r>
              <w:rPr>
                <w:rFonts w:hint="eastAsia" w:ascii="宋体" w:hAnsi="宋体" w:eastAsia="宋体" w:cs="宋体"/>
                <w:szCs w:val="21"/>
              </w:rPr>
              <w:t>可作为开发平台，对外服务，700≤服务人数&lt;800</w:t>
            </w:r>
          </w:p>
        </w:tc>
        <w:tc>
          <w:tcPr>
            <w:tcW w:w="1946" w:type="dxa"/>
            <w:vAlign w:val="center"/>
          </w:tcPr>
          <w:p w14:paraId="47B4B486">
            <w:pPr>
              <w:jc w:val="center"/>
              <w:rPr>
                <w:rFonts w:ascii="宋体" w:hAnsi="宋体" w:eastAsia="宋体" w:cs="宋体"/>
                <w:szCs w:val="21"/>
              </w:rPr>
            </w:pPr>
            <w:r>
              <w:rPr>
                <w:rFonts w:hint="eastAsia" w:ascii="宋体" w:hAnsi="宋体" w:eastAsia="宋体" w:cs="宋体"/>
                <w:szCs w:val="21"/>
              </w:rPr>
              <w:t>根据立项依据及政策简要说明和绩效目标要求</w:t>
            </w:r>
          </w:p>
        </w:tc>
      </w:tr>
      <w:tr w14:paraId="25B71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40" w:type="dxa"/>
            <w:vAlign w:val="center"/>
          </w:tcPr>
          <w:p w14:paraId="6A09CEDC">
            <w:pPr>
              <w:jc w:val="center"/>
              <w:rPr>
                <w:rFonts w:ascii="宋体" w:hAnsi="宋体" w:eastAsia="宋体" w:cs="宋体"/>
                <w:szCs w:val="21"/>
              </w:rPr>
            </w:pPr>
            <w:r>
              <w:rPr>
                <w:rFonts w:hint="eastAsia" w:ascii="宋体" w:hAnsi="宋体" w:eastAsia="宋体" w:cs="宋体"/>
                <w:szCs w:val="21"/>
              </w:rPr>
              <w:t>3</w:t>
            </w:r>
          </w:p>
        </w:tc>
        <w:tc>
          <w:tcPr>
            <w:tcW w:w="1936" w:type="dxa"/>
            <w:gridSpan w:val="2"/>
            <w:vAlign w:val="center"/>
          </w:tcPr>
          <w:p w14:paraId="2B488BBD">
            <w:pPr>
              <w:jc w:val="center"/>
              <w:rPr>
                <w:rFonts w:ascii="宋体" w:hAnsi="宋体" w:eastAsia="宋体" w:cs="宋体"/>
                <w:szCs w:val="21"/>
              </w:rPr>
            </w:pPr>
            <w:r>
              <w:rPr>
                <w:rFonts w:hint="eastAsia" w:ascii="宋体" w:hAnsi="宋体" w:eastAsia="宋体" w:cs="宋体"/>
                <w:szCs w:val="21"/>
              </w:rPr>
              <w:t>满意度指标</w:t>
            </w:r>
          </w:p>
        </w:tc>
        <w:tc>
          <w:tcPr>
            <w:tcW w:w="1277" w:type="dxa"/>
            <w:vAlign w:val="center"/>
          </w:tcPr>
          <w:p w14:paraId="5A2DF506">
            <w:pPr>
              <w:jc w:val="center"/>
              <w:rPr>
                <w:rFonts w:ascii="宋体" w:hAnsi="宋体" w:eastAsia="宋体" w:cs="宋体"/>
                <w:szCs w:val="21"/>
              </w:rPr>
            </w:pPr>
            <w:r>
              <w:rPr>
                <w:rFonts w:hint="eastAsia" w:ascii="宋体" w:hAnsi="宋体" w:eastAsia="宋体" w:cs="宋体"/>
                <w:szCs w:val="21"/>
              </w:rPr>
              <w:t>服务对象满意度指标</w:t>
            </w:r>
          </w:p>
        </w:tc>
        <w:tc>
          <w:tcPr>
            <w:tcW w:w="1620" w:type="dxa"/>
            <w:vAlign w:val="center"/>
          </w:tcPr>
          <w:p w14:paraId="642E272F">
            <w:pPr>
              <w:jc w:val="center"/>
              <w:rPr>
                <w:rFonts w:ascii="宋体" w:hAnsi="宋体" w:eastAsia="宋体" w:cs="宋体"/>
                <w:szCs w:val="21"/>
              </w:rPr>
            </w:pPr>
            <w:r>
              <w:rPr>
                <w:rFonts w:hint="eastAsia" w:ascii="宋体" w:hAnsi="宋体" w:eastAsia="宋体" w:cs="宋体"/>
                <w:szCs w:val="21"/>
              </w:rPr>
              <w:t>学生对教学内容方式更加满意、老师对课程设置结构更加满意</w:t>
            </w:r>
          </w:p>
        </w:tc>
        <w:tc>
          <w:tcPr>
            <w:tcW w:w="1710" w:type="dxa"/>
            <w:gridSpan w:val="2"/>
            <w:vAlign w:val="center"/>
          </w:tcPr>
          <w:p w14:paraId="39113E6B">
            <w:pPr>
              <w:jc w:val="left"/>
              <w:rPr>
                <w:rFonts w:ascii="宋体" w:hAnsi="宋体" w:eastAsia="宋体" w:cs="宋体"/>
                <w:szCs w:val="21"/>
              </w:rPr>
            </w:pPr>
            <w:r>
              <w:rPr>
                <w:rFonts w:hint="eastAsia" w:ascii="宋体" w:hAnsi="宋体" w:eastAsia="宋体" w:cs="宋体"/>
                <w:szCs w:val="21"/>
              </w:rPr>
              <w:t>非常满意</w:t>
            </w:r>
          </w:p>
        </w:tc>
        <w:tc>
          <w:tcPr>
            <w:tcW w:w="1770" w:type="dxa"/>
            <w:gridSpan w:val="2"/>
            <w:vAlign w:val="center"/>
          </w:tcPr>
          <w:p w14:paraId="259878E8">
            <w:pPr>
              <w:jc w:val="left"/>
              <w:rPr>
                <w:rFonts w:ascii="宋体" w:hAnsi="宋体" w:eastAsia="宋体" w:cs="宋体"/>
                <w:szCs w:val="21"/>
              </w:rPr>
            </w:pPr>
            <w:r>
              <w:rPr>
                <w:rFonts w:hint="eastAsia" w:ascii="宋体" w:hAnsi="宋体" w:eastAsia="宋体" w:cs="宋体"/>
                <w:szCs w:val="21"/>
              </w:rPr>
              <w:t>较为满意</w:t>
            </w:r>
          </w:p>
        </w:tc>
        <w:tc>
          <w:tcPr>
            <w:tcW w:w="1842" w:type="dxa"/>
            <w:vAlign w:val="center"/>
          </w:tcPr>
          <w:p w14:paraId="6908ADFE">
            <w:pPr>
              <w:jc w:val="left"/>
              <w:rPr>
                <w:rFonts w:ascii="宋体" w:hAnsi="宋体" w:eastAsia="宋体" w:cs="宋体"/>
                <w:szCs w:val="21"/>
              </w:rPr>
            </w:pPr>
            <w:r>
              <w:rPr>
                <w:rFonts w:hint="eastAsia" w:ascii="宋体" w:hAnsi="宋体" w:eastAsia="宋体" w:cs="宋体"/>
                <w:szCs w:val="21"/>
              </w:rPr>
              <w:t>略微满意</w:t>
            </w:r>
          </w:p>
        </w:tc>
        <w:tc>
          <w:tcPr>
            <w:tcW w:w="1758" w:type="dxa"/>
            <w:gridSpan w:val="2"/>
            <w:vAlign w:val="center"/>
          </w:tcPr>
          <w:p w14:paraId="0D85D933">
            <w:pPr>
              <w:jc w:val="left"/>
              <w:rPr>
                <w:rFonts w:ascii="宋体" w:hAnsi="宋体" w:eastAsia="宋体" w:cs="宋体"/>
                <w:szCs w:val="21"/>
              </w:rPr>
            </w:pPr>
            <w:r>
              <w:rPr>
                <w:rFonts w:hint="eastAsia" w:ascii="宋体" w:hAnsi="宋体" w:eastAsia="宋体" w:cs="宋体"/>
                <w:szCs w:val="21"/>
              </w:rPr>
              <w:t>不满意</w:t>
            </w:r>
          </w:p>
        </w:tc>
        <w:tc>
          <w:tcPr>
            <w:tcW w:w="1946" w:type="dxa"/>
            <w:vAlign w:val="center"/>
          </w:tcPr>
          <w:p w14:paraId="238D2AFB">
            <w:pPr>
              <w:jc w:val="center"/>
              <w:rPr>
                <w:rFonts w:ascii="宋体" w:hAnsi="宋体" w:eastAsia="宋体" w:cs="宋体"/>
                <w:szCs w:val="21"/>
              </w:rPr>
            </w:pPr>
            <w:r>
              <w:rPr>
                <w:rFonts w:hint="eastAsia" w:ascii="宋体" w:hAnsi="宋体" w:eastAsia="宋体" w:cs="宋体"/>
                <w:szCs w:val="21"/>
              </w:rPr>
              <w:t>根据立项依据及政策简要说明和绩效目标要求</w:t>
            </w:r>
          </w:p>
        </w:tc>
      </w:tr>
    </w:tbl>
    <w:p w14:paraId="6C57AD5D">
      <w:pPr>
        <w:ind w:left="1020" w:leftChars="200" w:hanging="600" w:hangingChars="300"/>
        <w:rPr>
          <w:rFonts w:ascii="宋体" w:hAnsi="宋体"/>
          <w:sz w:val="20"/>
          <w:szCs w:val="20"/>
        </w:rPr>
      </w:pPr>
      <w:r>
        <w:rPr>
          <w:rFonts w:hint="eastAsia" w:ascii="宋体" w:hAnsi="宋体"/>
          <w:sz w:val="20"/>
          <w:szCs w:val="20"/>
        </w:rPr>
        <w:t>注：①绩效指标从产出、效果等方面进行描述，但不能出现产出、效果等文字；</w:t>
      </w:r>
    </w:p>
    <w:p w14:paraId="60B33F4D">
      <w:pPr>
        <w:ind w:left="1027" w:leftChars="394" w:hanging="200" w:hangingChars="100"/>
        <w:rPr>
          <w:rFonts w:ascii="宋体" w:hAnsi="宋体"/>
          <w:sz w:val="20"/>
          <w:szCs w:val="20"/>
        </w:rPr>
      </w:pPr>
      <w:r>
        <w:rPr>
          <w:rFonts w:hint="eastAsia" w:ascii="宋体" w:hAnsi="宋体"/>
          <w:sz w:val="20"/>
          <w:szCs w:val="20"/>
        </w:rPr>
        <w:t>②指标描述是对绩效指标的具体解释、分析和描述；</w:t>
      </w:r>
    </w:p>
    <w:p w14:paraId="39C6F123">
      <w:pPr>
        <w:ind w:firstLine="800" w:firstLineChars="400"/>
        <w:rPr>
          <w:rFonts w:ascii="宋体" w:hAnsi="宋体"/>
          <w:sz w:val="20"/>
          <w:szCs w:val="20"/>
        </w:rPr>
        <w:sectPr>
          <w:pgSz w:w="16838" w:h="11906" w:orient="landscape"/>
          <w:pgMar w:top="1361" w:right="1247" w:bottom="1474" w:left="1474" w:header="743" w:footer="1021" w:gutter="0"/>
          <w:cols w:space="425" w:num="1"/>
          <w:docGrid w:linePitch="312" w:charSpace="0"/>
        </w:sectPr>
      </w:pPr>
      <w:r>
        <w:rPr>
          <w:rFonts w:hint="eastAsia" w:ascii="宋体" w:hAnsi="宋体"/>
          <w:sz w:val="20"/>
          <w:szCs w:val="20"/>
        </w:rPr>
        <w:t>③指标评价标准为自行设定的绩效指标的优、良、中、差四个等级的完成百分比。</w:t>
      </w:r>
    </w:p>
    <w:tbl>
      <w:tblPr>
        <w:tblStyle w:val="12"/>
        <w:tblW w:w="14190" w:type="dxa"/>
        <w:tblInd w:w="93" w:type="dxa"/>
        <w:tblLayout w:type="fixed"/>
        <w:tblCellMar>
          <w:top w:w="0" w:type="dxa"/>
          <w:left w:w="108" w:type="dxa"/>
          <w:bottom w:w="0" w:type="dxa"/>
          <w:right w:w="108" w:type="dxa"/>
        </w:tblCellMar>
      </w:tblPr>
      <w:tblGrid>
        <w:gridCol w:w="443"/>
        <w:gridCol w:w="2025"/>
        <w:gridCol w:w="6030"/>
        <w:gridCol w:w="885"/>
        <w:gridCol w:w="840"/>
        <w:gridCol w:w="1110"/>
        <w:gridCol w:w="1290"/>
        <w:gridCol w:w="1567"/>
      </w:tblGrid>
      <w:tr w14:paraId="6B16DA90">
        <w:tblPrEx>
          <w:tblCellMar>
            <w:top w:w="0" w:type="dxa"/>
            <w:left w:w="108" w:type="dxa"/>
            <w:bottom w:w="0" w:type="dxa"/>
            <w:right w:w="108" w:type="dxa"/>
          </w:tblCellMar>
        </w:tblPrEx>
        <w:trPr>
          <w:trHeight w:val="870" w:hRule="atLeast"/>
        </w:trPr>
        <w:tc>
          <w:tcPr>
            <w:tcW w:w="14190" w:type="dxa"/>
            <w:gridSpan w:val="8"/>
            <w:tcBorders>
              <w:top w:val="nil"/>
              <w:left w:val="nil"/>
              <w:bottom w:val="nil"/>
              <w:right w:val="nil"/>
            </w:tcBorders>
            <w:shd w:val="clear" w:color="auto" w:fill="auto"/>
            <w:noWrap/>
            <w:vAlign w:val="center"/>
          </w:tcPr>
          <w:p w14:paraId="7DE3CB76">
            <w:pPr>
              <w:widowControl/>
              <w:rPr>
                <w:rFonts w:ascii="宋体" w:hAnsi="宋体" w:cs="宋体"/>
                <w:b/>
                <w:bCs/>
                <w:color w:val="000000"/>
                <w:kern w:val="0"/>
                <w:sz w:val="32"/>
                <w:szCs w:val="32"/>
              </w:rPr>
            </w:pPr>
            <w:r>
              <w:rPr>
                <w:rFonts w:hint="eastAsia" w:ascii="宋体" w:hAnsi="宋体" w:cs="宋体"/>
                <w:b/>
                <w:bCs/>
                <w:color w:val="000000"/>
                <w:kern w:val="0"/>
                <w:sz w:val="32"/>
                <w:szCs w:val="32"/>
              </w:rPr>
              <w:t>三、项目购置汇总表</w:t>
            </w:r>
          </w:p>
        </w:tc>
      </w:tr>
      <w:tr w14:paraId="2ED42CA6">
        <w:tblPrEx>
          <w:tblCellMar>
            <w:top w:w="0" w:type="dxa"/>
            <w:left w:w="108" w:type="dxa"/>
            <w:bottom w:w="0" w:type="dxa"/>
            <w:right w:w="108" w:type="dxa"/>
          </w:tblCellMar>
        </w:tblPrEx>
        <w:trPr>
          <w:trHeight w:val="480" w:hRule="atLeast"/>
        </w:trPr>
        <w:tc>
          <w:tcPr>
            <w:tcW w:w="2468" w:type="dxa"/>
            <w:gridSpan w:val="2"/>
            <w:tcBorders>
              <w:top w:val="nil"/>
              <w:left w:val="nil"/>
              <w:bottom w:val="nil"/>
              <w:right w:val="nil"/>
            </w:tcBorders>
            <w:shd w:val="clear" w:color="auto" w:fill="auto"/>
            <w:noWrap/>
            <w:vAlign w:val="center"/>
          </w:tcPr>
          <w:p w14:paraId="7618FB81">
            <w:pPr>
              <w:widowControl/>
              <w:jc w:val="left"/>
              <w:rPr>
                <w:rFonts w:ascii="宋体" w:hAnsi="宋体" w:cs="宋体"/>
                <w:color w:val="000000"/>
                <w:kern w:val="0"/>
                <w:szCs w:val="21"/>
              </w:rPr>
            </w:pPr>
          </w:p>
        </w:tc>
        <w:tc>
          <w:tcPr>
            <w:tcW w:w="6030" w:type="dxa"/>
            <w:tcBorders>
              <w:top w:val="nil"/>
              <w:left w:val="nil"/>
              <w:bottom w:val="nil"/>
              <w:right w:val="nil"/>
            </w:tcBorders>
            <w:shd w:val="clear" w:color="auto" w:fill="auto"/>
            <w:noWrap/>
            <w:vAlign w:val="center"/>
          </w:tcPr>
          <w:p w14:paraId="1DD376E1">
            <w:pPr>
              <w:widowControl/>
              <w:jc w:val="left"/>
              <w:rPr>
                <w:rFonts w:ascii="宋体" w:hAnsi="宋体" w:cs="宋体"/>
                <w:color w:val="000000"/>
                <w:kern w:val="0"/>
                <w:szCs w:val="21"/>
              </w:rPr>
            </w:pPr>
          </w:p>
        </w:tc>
        <w:tc>
          <w:tcPr>
            <w:tcW w:w="885" w:type="dxa"/>
            <w:tcBorders>
              <w:top w:val="nil"/>
              <w:left w:val="nil"/>
              <w:bottom w:val="nil"/>
              <w:right w:val="nil"/>
            </w:tcBorders>
            <w:shd w:val="clear" w:color="auto" w:fill="auto"/>
            <w:noWrap/>
            <w:vAlign w:val="center"/>
          </w:tcPr>
          <w:p w14:paraId="08EDC935">
            <w:pPr>
              <w:widowControl/>
              <w:jc w:val="left"/>
              <w:rPr>
                <w:rFonts w:ascii="宋体" w:hAnsi="宋体" w:cs="宋体"/>
                <w:color w:val="000000"/>
                <w:kern w:val="0"/>
                <w:szCs w:val="21"/>
              </w:rPr>
            </w:pPr>
          </w:p>
        </w:tc>
        <w:tc>
          <w:tcPr>
            <w:tcW w:w="840" w:type="dxa"/>
            <w:tcBorders>
              <w:top w:val="nil"/>
              <w:left w:val="nil"/>
              <w:bottom w:val="nil"/>
              <w:right w:val="nil"/>
            </w:tcBorders>
            <w:shd w:val="clear" w:color="auto" w:fill="auto"/>
            <w:noWrap/>
            <w:vAlign w:val="center"/>
          </w:tcPr>
          <w:p w14:paraId="1B2F3DDC">
            <w:pPr>
              <w:widowControl/>
              <w:jc w:val="left"/>
              <w:rPr>
                <w:rFonts w:ascii="宋体" w:hAnsi="宋体" w:cs="宋体"/>
                <w:color w:val="000000"/>
                <w:kern w:val="0"/>
                <w:szCs w:val="21"/>
              </w:rPr>
            </w:pPr>
          </w:p>
        </w:tc>
        <w:tc>
          <w:tcPr>
            <w:tcW w:w="1110" w:type="dxa"/>
            <w:tcBorders>
              <w:top w:val="nil"/>
              <w:left w:val="nil"/>
              <w:bottom w:val="nil"/>
              <w:right w:val="nil"/>
            </w:tcBorders>
            <w:shd w:val="clear" w:color="auto" w:fill="auto"/>
            <w:noWrap/>
            <w:vAlign w:val="center"/>
          </w:tcPr>
          <w:p w14:paraId="44D91F3A">
            <w:pPr>
              <w:widowControl/>
              <w:jc w:val="left"/>
              <w:rPr>
                <w:rFonts w:ascii="宋体" w:hAnsi="宋体" w:cs="宋体"/>
                <w:color w:val="000000"/>
                <w:kern w:val="0"/>
                <w:szCs w:val="21"/>
              </w:rPr>
            </w:pPr>
          </w:p>
        </w:tc>
        <w:tc>
          <w:tcPr>
            <w:tcW w:w="1290" w:type="dxa"/>
            <w:tcBorders>
              <w:top w:val="nil"/>
              <w:left w:val="nil"/>
              <w:bottom w:val="nil"/>
              <w:right w:val="nil"/>
            </w:tcBorders>
            <w:shd w:val="clear" w:color="auto" w:fill="auto"/>
            <w:noWrap/>
            <w:vAlign w:val="center"/>
          </w:tcPr>
          <w:p w14:paraId="10E62B32">
            <w:pPr>
              <w:widowControl/>
              <w:jc w:val="left"/>
              <w:rPr>
                <w:rFonts w:ascii="宋体" w:hAnsi="宋体" w:cs="宋体"/>
                <w:color w:val="000000"/>
                <w:kern w:val="0"/>
                <w:szCs w:val="21"/>
              </w:rPr>
            </w:pPr>
          </w:p>
        </w:tc>
        <w:tc>
          <w:tcPr>
            <w:tcW w:w="1567" w:type="dxa"/>
            <w:tcBorders>
              <w:top w:val="nil"/>
              <w:left w:val="nil"/>
              <w:bottom w:val="nil"/>
              <w:right w:val="nil"/>
            </w:tcBorders>
            <w:shd w:val="clear" w:color="auto" w:fill="auto"/>
            <w:noWrap/>
            <w:vAlign w:val="center"/>
          </w:tcPr>
          <w:p w14:paraId="08B323D0">
            <w:pPr>
              <w:widowControl/>
              <w:jc w:val="left"/>
              <w:rPr>
                <w:rFonts w:ascii="宋体" w:hAnsi="宋体" w:cs="宋体"/>
                <w:color w:val="000000"/>
                <w:kern w:val="0"/>
                <w:szCs w:val="21"/>
              </w:rPr>
            </w:pPr>
            <w:r>
              <w:rPr>
                <w:rFonts w:hint="eastAsia" w:ascii="宋体" w:hAnsi="宋体" w:cs="宋体"/>
                <w:color w:val="000000"/>
                <w:kern w:val="0"/>
                <w:szCs w:val="21"/>
              </w:rPr>
              <w:t>单位：万元</w:t>
            </w:r>
          </w:p>
        </w:tc>
      </w:tr>
      <w:tr w14:paraId="17657EA3">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4F8848">
            <w:pPr>
              <w:widowControl/>
              <w:jc w:val="center"/>
              <w:rPr>
                <w:rFonts w:ascii="宋体" w:hAnsi="宋体" w:cs="宋体"/>
                <w:color w:val="000000"/>
                <w:kern w:val="0"/>
                <w:szCs w:val="21"/>
              </w:rPr>
            </w:pPr>
            <w:r>
              <w:rPr>
                <w:rFonts w:hint="eastAsia" w:ascii="宋体" w:hAnsi="宋体" w:cs="宋体"/>
                <w:color w:val="000000"/>
                <w:kern w:val="0"/>
                <w:szCs w:val="21"/>
              </w:rPr>
              <w:t>序 号</w:t>
            </w:r>
          </w:p>
        </w:tc>
        <w:tc>
          <w:tcPr>
            <w:tcW w:w="2025" w:type="dxa"/>
            <w:tcBorders>
              <w:top w:val="single" w:color="auto" w:sz="4" w:space="0"/>
              <w:left w:val="nil"/>
              <w:bottom w:val="single" w:color="auto" w:sz="4" w:space="0"/>
              <w:right w:val="single" w:color="auto" w:sz="4" w:space="0"/>
            </w:tcBorders>
            <w:shd w:val="clear" w:color="auto" w:fill="auto"/>
            <w:noWrap/>
            <w:vAlign w:val="center"/>
          </w:tcPr>
          <w:p w14:paraId="09AE3139">
            <w:pPr>
              <w:widowControl/>
              <w:jc w:val="center"/>
              <w:rPr>
                <w:rFonts w:ascii="宋体" w:hAnsi="宋体" w:cs="宋体"/>
                <w:color w:val="000000"/>
                <w:kern w:val="0"/>
                <w:szCs w:val="21"/>
              </w:rPr>
            </w:pPr>
            <w:r>
              <w:rPr>
                <w:rFonts w:hint="eastAsia" w:ascii="宋体" w:hAnsi="宋体" w:cs="宋体"/>
                <w:color w:val="000000"/>
                <w:kern w:val="0"/>
                <w:szCs w:val="21"/>
              </w:rPr>
              <w:t>设备/家具/软件等名称</w:t>
            </w:r>
          </w:p>
        </w:tc>
        <w:tc>
          <w:tcPr>
            <w:tcW w:w="6030" w:type="dxa"/>
            <w:tcBorders>
              <w:top w:val="single" w:color="auto" w:sz="4" w:space="0"/>
              <w:left w:val="nil"/>
              <w:bottom w:val="single" w:color="auto" w:sz="4" w:space="0"/>
              <w:right w:val="single" w:color="auto" w:sz="4" w:space="0"/>
            </w:tcBorders>
            <w:shd w:val="clear" w:color="auto" w:fill="auto"/>
            <w:noWrap/>
            <w:vAlign w:val="center"/>
          </w:tcPr>
          <w:p w14:paraId="08E9C0F3">
            <w:pPr>
              <w:widowControl/>
              <w:jc w:val="center"/>
              <w:rPr>
                <w:rFonts w:ascii="宋体" w:hAnsi="宋体" w:cs="宋体"/>
                <w:color w:val="000000"/>
                <w:kern w:val="0"/>
                <w:szCs w:val="21"/>
              </w:rPr>
            </w:pPr>
            <w:r>
              <w:rPr>
                <w:rFonts w:hint="eastAsia" w:ascii="宋体" w:hAnsi="宋体" w:cs="宋体"/>
                <w:color w:val="000000"/>
                <w:kern w:val="0"/>
                <w:szCs w:val="21"/>
              </w:rPr>
              <w:t>技术参数及要求</w:t>
            </w:r>
          </w:p>
        </w:tc>
        <w:tc>
          <w:tcPr>
            <w:tcW w:w="885" w:type="dxa"/>
            <w:tcBorders>
              <w:top w:val="single" w:color="auto" w:sz="4" w:space="0"/>
              <w:left w:val="nil"/>
              <w:bottom w:val="single" w:color="auto" w:sz="4" w:space="0"/>
              <w:right w:val="single" w:color="auto" w:sz="4" w:space="0"/>
            </w:tcBorders>
            <w:shd w:val="clear" w:color="auto" w:fill="auto"/>
            <w:noWrap/>
            <w:vAlign w:val="center"/>
          </w:tcPr>
          <w:p w14:paraId="2C82899C">
            <w:pPr>
              <w:widowControl/>
              <w:jc w:val="center"/>
              <w:rPr>
                <w:rFonts w:ascii="宋体" w:hAnsi="宋体" w:cs="宋体"/>
                <w:color w:val="000000"/>
                <w:kern w:val="0"/>
                <w:szCs w:val="21"/>
              </w:rPr>
            </w:pPr>
            <w:r>
              <w:rPr>
                <w:rFonts w:hint="eastAsia" w:ascii="宋体" w:hAnsi="宋体" w:cs="宋体"/>
                <w:color w:val="000000"/>
                <w:kern w:val="0"/>
                <w:szCs w:val="21"/>
              </w:rPr>
              <w:t>单 价</w:t>
            </w:r>
          </w:p>
        </w:tc>
        <w:tc>
          <w:tcPr>
            <w:tcW w:w="840" w:type="dxa"/>
            <w:tcBorders>
              <w:top w:val="single" w:color="auto" w:sz="4" w:space="0"/>
              <w:left w:val="nil"/>
              <w:bottom w:val="single" w:color="auto" w:sz="4" w:space="0"/>
              <w:right w:val="single" w:color="auto" w:sz="4" w:space="0"/>
            </w:tcBorders>
            <w:shd w:val="clear" w:color="auto" w:fill="auto"/>
            <w:noWrap/>
            <w:vAlign w:val="center"/>
          </w:tcPr>
          <w:p w14:paraId="53D41434">
            <w:pPr>
              <w:widowControl/>
              <w:jc w:val="center"/>
              <w:rPr>
                <w:rFonts w:ascii="宋体" w:hAnsi="宋体" w:cs="宋体"/>
                <w:color w:val="000000"/>
                <w:kern w:val="0"/>
                <w:szCs w:val="21"/>
              </w:rPr>
            </w:pPr>
            <w:r>
              <w:rPr>
                <w:rFonts w:hint="eastAsia" w:ascii="宋体" w:hAnsi="宋体" w:cs="宋体"/>
                <w:color w:val="000000"/>
                <w:kern w:val="0"/>
                <w:szCs w:val="21"/>
              </w:rPr>
              <w:t>数 量</w:t>
            </w:r>
          </w:p>
        </w:tc>
        <w:tc>
          <w:tcPr>
            <w:tcW w:w="1110" w:type="dxa"/>
            <w:tcBorders>
              <w:top w:val="single" w:color="auto" w:sz="4" w:space="0"/>
              <w:left w:val="nil"/>
              <w:bottom w:val="single" w:color="auto" w:sz="4" w:space="0"/>
              <w:right w:val="single" w:color="auto" w:sz="4" w:space="0"/>
            </w:tcBorders>
            <w:shd w:val="clear" w:color="auto" w:fill="auto"/>
            <w:noWrap/>
            <w:vAlign w:val="center"/>
          </w:tcPr>
          <w:p w14:paraId="025AA72B">
            <w:pPr>
              <w:widowControl/>
              <w:jc w:val="center"/>
              <w:rPr>
                <w:rFonts w:ascii="宋体" w:hAnsi="宋体" w:cs="宋体"/>
                <w:color w:val="000000"/>
                <w:kern w:val="0"/>
                <w:szCs w:val="21"/>
              </w:rPr>
            </w:pPr>
            <w:r>
              <w:rPr>
                <w:rFonts w:hint="eastAsia" w:ascii="宋体" w:hAnsi="宋体" w:cs="宋体"/>
                <w:color w:val="000000"/>
                <w:kern w:val="0"/>
                <w:szCs w:val="21"/>
              </w:rPr>
              <w:t>合计金额</w:t>
            </w:r>
          </w:p>
        </w:tc>
        <w:tc>
          <w:tcPr>
            <w:tcW w:w="1290" w:type="dxa"/>
            <w:tcBorders>
              <w:top w:val="single" w:color="auto" w:sz="4" w:space="0"/>
              <w:left w:val="nil"/>
              <w:bottom w:val="single" w:color="auto" w:sz="4" w:space="0"/>
              <w:right w:val="single" w:color="auto" w:sz="4" w:space="0"/>
            </w:tcBorders>
            <w:shd w:val="clear" w:color="auto" w:fill="auto"/>
            <w:noWrap/>
            <w:vAlign w:val="center"/>
          </w:tcPr>
          <w:p w14:paraId="14A74A5B">
            <w:pPr>
              <w:widowControl/>
              <w:jc w:val="center"/>
              <w:rPr>
                <w:rFonts w:ascii="宋体" w:hAnsi="宋体" w:cs="宋体"/>
                <w:color w:val="000000"/>
                <w:kern w:val="0"/>
                <w:szCs w:val="21"/>
              </w:rPr>
            </w:pPr>
            <w:r>
              <w:rPr>
                <w:rFonts w:hint="eastAsia" w:ascii="宋体" w:hAnsi="宋体" w:cs="宋体"/>
                <w:color w:val="000000"/>
                <w:kern w:val="0"/>
                <w:szCs w:val="21"/>
              </w:rPr>
              <w:t>实验室位置</w:t>
            </w:r>
          </w:p>
        </w:tc>
        <w:tc>
          <w:tcPr>
            <w:tcW w:w="1567" w:type="dxa"/>
            <w:tcBorders>
              <w:top w:val="single" w:color="auto" w:sz="4" w:space="0"/>
              <w:left w:val="nil"/>
              <w:bottom w:val="single" w:color="auto" w:sz="4" w:space="0"/>
              <w:right w:val="single" w:color="auto" w:sz="4" w:space="0"/>
            </w:tcBorders>
            <w:shd w:val="clear" w:color="auto" w:fill="auto"/>
            <w:noWrap/>
            <w:vAlign w:val="center"/>
          </w:tcPr>
          <w:p w14:paraId="2C99423D">
            <w:pPr>
              <w:widowControl/>
              <w:jc w:val="center"/>
              <w:rPr>
                <w:rFonts w:ascii="宋体" w:hAnsi="宋体" w:cs="宋体"/>
                <w:color w:val="000000"/>
                <w:kern w:val="0"/>
                <w:szCs w:val="21"/>
              </w:rPr>
            </w:pPr>
            <w:r>
              <w:rPr>
                <w:rFonts w:hint="eastAsia" w:ascii="宋体" w:hAnsi="宋体" w:cs="宋体"/>
                <w:color w:val="000000"/>
                <w:kern w:val="0"/>
                <w:szCs w:val="21"/>
              </w:rPr>
              <w:t>备    注</w:t>
            </w:r>
          </w:p>
        </w:tc>
      </w:tr>
      <w:tr w14:paraId="509FFA90">
        <w:tblPrEx>
          <w:tblCellMar>
            <w:top w:w="0" w:type="dxa"/>
            <w:left w:w="108" w:type="dxa"/>
            <w:bottom w:w="0" w:type="dxa"/>
            <w:right w:w="108" w:type="dxa"/>
          </w:tblCellMar>
        </w:tblPrEx>
        <w:trPr>
          <w:trHeight w:val="48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22FE58A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025" w:type="dxa"/>
            <w:tcBorders>
              <w:top w:val="nil"/>
              <w:left w:val="nil"/>
              <w:bottom w:val="single" w:color="auto" w:sz="4" w:space="0"/>
              <w:right w:val="single" w:color="auto" w:sz="4" w:space="0"/>
            </w:tcBorders>
            <w:shd w:val="clear" w:color="auto" w:fill="auto"/>
            <w:noWrap/>
            <w:vAlign w:val="center"/>
          </w:tcPr>
          <w:p w14:paraId="51C6BE32">
            <w:pPr>
              <w:widowControl/>
              <w:jc w:val="center"/>
              <w:rPr>
                <w:rFonts w:ascii="宋体" w:hAnsi="宋体" w:eastAsia="宋体" w:cs="宋体"/>
                <w:color w:val="000000"/>
                <w:kern w:val="0"/>
                <w:szCs w:val="21"/>
              </w:rPr>
            </w:pPr>
            <w:r>
              <w:rPr>
                <w:rFonts w:hint="eastAsia" w:ascii="宋体" w:hAnsi="宋体" w:eastAsia="宋体" w:cs="宋体"/>
                <w:szCs w:val="21"/>
              </w:rPr>
              <w:t>数字经济实验室（国际经济学综合决策仿真实验）系统（教赛版）</w:t>
            </w:r>
          </w:p>
        </w:tc>
        <w:tc>
          <w:tcPr>
            <w:tcW w:w="6030" w:type="dxa"/>
            <w:tcBorders>
              <w:top w:val="nil"/>
              <w:left w:val="nil"/>
              <w:bottom w:val="single" w:color="auto" w:sz="4" w:space="0"/>
              <w:right w:val="single" w:color="auto" w:sz="4" w:space="0"/>
            </w:tcBorders>
            <w:shd w:val="clear" w:color="auto" w:fill="auto"/>
            <w:noWrap/>
            <w:vAlign w:val="center"/>
          </w:tcPr>
          <w:p w14:paraId="02626F07">
            <w:pPr>
              <w:numPr>
                <w:ilvl w:val="2"/>
                <w:numId w:val="18"/>
              </w:numPr>
              <w:rPr>
                <w:rFonts w:ascii="宋体" w:hAnsi="宋体" w:eastAsia="宋体" w:cs="宋体"/>
                <w:b/>
                <w:color w:val="000000"/>
                <w:kern w:val="0"/>
                <w:szCs w:val="21"/>
              </w:rPr>
            </w:pPr>
            <w:r>
              <w:rPr>
                <w:rFonts w:hint="eastAsia" w:ascii="宋体" w:hAnsi="宋体" w:eastAsia="宋体" w:cs="宋体"/>
                <w:b/>
                <w:color w:val="000000"/>
                <w:kern w:val="0"/>
                <w:szCs w:val="21"/>
              </w:rPr>
              <w:t>基本要求</w:t>
            </w:r>
          </w:p>
          <w:p w14:paraId="40D91E9E">
            <w:pPr>
              <w:numPr>
                <w:ilvl w:val="3"/>
                <w:numId w:val="18"/>
              </w:numPr>
              <w:rPr>
                <w:rFonts w:ascii="宋体" w:hAnsi="宋体" w:eastAsia="宋体" w:cs="宋体"/>
                <w:szCs w:val="21"/>
              </w:rPr>
            </w:pPr>
            <w:r>
              <w:rPr>
                <w:rFonts w:hint="eastAsia" w:ascii="宋体" w:hAnsi="宋体" w:eastAsia="宋体" w:cs="宋体"/>
                <w:szCs w:val="21"/>
              </w:rPr>
              <w:t>通过情景模拟、角色扮演的方法让学生体验国际经济与贸易的基本规律。系统同时设有不同国家，各国家内部可设立汽车/钢铁等不同类型厂商团队,各厂商团队可以竞选政府。如缺少多个国家、及各国内部的厂商运营均为无效应标。未当选政府小组可进行经济预测。</w:t>
            </w:r>
          </w:p>
          <w:p w14:paraId="7A63A040">
            <w:pPr>
              <w:numPr>
                <w:ilvl w:val="3"/>
                <w:numId w:val="18"/>
              </w:numPr>
              <w:rPr>
                <w:rFonts w:ascii="宋体" w:hAnsi="宋体" w:eastAsia="宋体" w:cs="宋体"/>
                <w:szCs w:val="21"/>
              </w:rPr>
            </w:pPr>
            <w:r>
              <w:rPr>
                <w:rFonts w:hint="eastAsia" w:ascii="宋体" w:hAnsi="宋体" w:eastAsia="宋体" w:cs="宋体"/>
                <w:szCs w:val="21"/>
              </w:rPr>
              <w:t>具有满足实验要求的知识点，课件能够覆盖国际经济学，如绝对优势和比较优势理论、重叠需求理论、产品周期理论，并在PPT课件中使用软件中的数据说明如何体现以上理论。</w:t>
            </w:r>
          </w:p>
          <w:p w14:paraId="265BFE11">
            <w:pPr>
              <w:numPr>
                <w:ilvl w:val="2"/>
                <w:numId w:val="18"/>
              </w:numPr>
              <w:rPr>
                <w:rFonts w:ascii="宋体" w:hAnsi="宋体" w:eastAsia="宋体" w:cs="宋体"/>
                <w:b/>
                <w:color w:val="000000"/>
                <w:kern w:val="0"/>
                <w:szCs w:val="21"/>
              </w:rPr>
            </w:pPr>
            <w:r>
              <w:rPr>
                <w:rFonts w:hint="eastAsia" w:ascii="宋体" w:hAnsi="宋体" w:eastAsia="宋体" w:cs="宋体"/>
                <w:b/>
                <w:color w:val="000000"/>
                <w:kern w:val="0"/>
                <w:szCs w:val="21"/>
              </w:rPr>
              <w:t>教师端、学生端要求</w:t>
            </w:r>
          </w:p>
          <w:p w14:paraId="38CDE7F2">
            <w:pPr>
              <w:numPr>
                <w:ilvl w:val="3"/>
                <w:numId w:val="18"/>
              </w:numPr>
              <w:rPr>
                <w:rFonts w:ascii="宋体" w:hAnsi="宋体" w:eastAsia="宋体" w:cs="宋体"/>
                <w:szCs w:val="21"/>
              </w:rPr>
            </w:pPr>
            <w:r>
              <w:rPr>
                <w:rFonts w:hint="eastAsia" w:ascii="宋体" w:hAnsi="宋体" w:eastAsia="宋体" w:cs="宋体"/>
                <w:szCs w:val="21"/>
              </w:rPr>
              <w:t>教师端功能</w:t>
            </w:r>
          </w:p>
          <w:p w14:paraId="1DDE0A72">
            <w:pPr>
              <w:widowControl/>
              <w:ind w:left="360"/>
              <w:jc w:val="left"/>
              <w:rPr>
                <w:rFonts w:ascii="宋体" w:hAnsi="宋体" w:eastAsia="宋体" w:cs="宋体"/>
                <w:szCs w:val="21"/>
              </w:rPr>
            </w:pPr>
            <w:r>
              <w:rPr>
                <w:rFonts w:hint="eastAsia" w:ascii="宋体" w:hAnsi="宋体" w:eastAsia="宋体" w:cs="宋体"/>
                <w:szCs w:val="21"/>
              </w:rPr>
              <w:t>【要素禀赋与比较优势】实验开始前可设置国家数量、各国厂商数量和劳动力总量系数。各国的劳动力总量系数，这将体现各国劳动力要素资源禀赋。</w:t>
            </w:r>
          </w:p>
          <w:p w14:paraId="07A9E541">
            <w:pPr>
              <w:widowControl/>
              <w:ind w:left="360"/>
              <w:jc w:val="left"/>
              <w:rPr>
                <w:rFonts w:ascii="宋体" w:hAnsi="宋体" w:eastAsia="宋体" w:cs="宋体"/>
                <w:szCs w:val="21"/>
              </w:rPr>
            </w:pPr>
            <w:r>
              <w:rPr>
                <w:rFonts w:hint="eastAsia" w:ascii="宋体" w:hAnsi="宋体" w:eastAsia="宋体" w:cs="宋体"/>
                <w:szCs w:val="21"/>
              </w:rPr>
              <w:t>【关税、非关税壁垒与贸易保护】可查看各国政府历年的宏观目标与数据，包括</w:t>
            </w:r>
            <w:r>
              <w:rPr>
                <w:rFonts w:hint="eastAsia" w:ascii="宋体" w:hAnsi="宋体" w:eastAsia="宋体" w:cs="宋体"/>
                <w:b/>
                <w:szCs w:val="21"/>
              </w:rPr>
              <w:t>各国历年</w:t>
            </w:r>
            <w:r>
              <w:rPr>
                <w:rFonts w:hint="eastAsia" w:ascii="宋体" w:hAnsi="宋体" w:eastAsia="宋体" w:cs="宋体"/>
                <w:szCs w:val="21"/>
              </w:rPr>
              <w:t>CPI、GDP增长率、失业率、个人总收入增长率。颁布的政策包括进口与出口关税（此关税可针对不同国家设置不同进口与出口关税）。当进出口关税为负时，达到进出口补贴效果。老师也可查看未当选政府小组的经济预测。</w:t>
            </w:r>
          </w:p>
          <w:p w14:paraId="26B1D868">
            <w:pPr>
              <w:widowControl/>
              <w:ind w:left="360"/>
              <w:jc w:val="left"/>
              <w:rPr>
                <w:rFonts w:ascii="宋体" w:hAnsi="宋体" w:eastAsia="宋体" w:cs="宋体"/>
                <w:szCs w:val="21"/>
              </w:rPr>
            </w:pPr>
            <w:r>
              <w:rPr>
                <w:rFonts w:hint="eastAsia" w:ascii="宋体" w:hAnsi="宋体" w:eastAsia="宋体" w:cs="宋体"/>
                <w:szCs w:val="21"/>
              </w:rPr>
              <w:t>【汇率与国际收支平衡】可查看各国国际</w:t>
            </w:r>
            <w:r>
              <w:rPr>
                <w:rFonts w:hint="eastAsia" w:ascii="宋体" w:hAnsi="宋体" w:eastAsia="宋体" w:cs="宋体"/>
                <w:szCs w:val="21"/>
                <w:lang w:eastAsia="zh-CN"/>
              </w:rPr>
              <w:t>收支平衡</w:t>
            </w:r>
            <w:r>
              <w:rPr>
                <w:rFonts w:hint="eastAsia" w:ascii="宋体" w:hAnsi="宋体" w:eastAsia="宋体" w:cs="宋体"/>
                <w:szCs w:val="21"/>
              </w:rPr>
              <w:t>顺差或逆差。教师端可查看各国政府设置的固定汇率、浮动汇率或按系统默认汇率，这会影响国际收支平衡。</w:t>
            </w:r>
          </w:p>
          <w:p w14:paraId="125E46B2">
            <w:pPr>
              <w:widowControl/>
              <w:ind w:left="360"/>
              <w:jc w:val="left"/>
              <w:rPr>
                <w:rFonts w:ascii="宋体" w:hAnsi="宋体" w:eastAsia="宋体" w:cs="宋体"/>
                <w:szCs w:val="21"/>
              </w:rPr>
            </w:pPr>
            <w:r>
              <w:rPr>
                <w:rFonts w:hint="eastAsia" w:ascii="宋体" w:hAnsi="宋体" w:eastAsia="宋体" w:cs="宋体"/>
                <w:szCs w:val="21"/>
              </w:rPr>
              <w:t>【需求、技术变化与国际贸易】系统可模拟一国的人均总收入将影响该国高档与普通产品需求，当国家间的人均总收入接近时，会产生高档商品的需求重叠。教师端可查看高档、普通订单竞标结果。可在竞标前订单模拟。</w:t>
            </w:r>
          </w:p>
          <w:p w14:paraId="1061FB42">
            <w:pPr>
              <w:widowControl/>
              <w:ind w:left="360"/>
              <w:jc w:val="left"/>
              <w:rPr>
                <w:rFonts w:ascii="宋体" w:hAnsi="宋体" w:eastAsia="宋体" w:cs="宋体"/>
                <w:szCs w:val="21"/>
              </w:rPr>
            </w:pPr>
            <w:r>
              <w:rPr>
                <w:rFonts w:hint="eastAsia" w:ascii="宋体" w:hAnsi="宋体" w:eastAsia="宋体" w:cs="宋体"/>
                <w:szCs w:val="21"/>
              </w:rPr>
              <w:t>【规模经济、不完全竞争】可通过设置厂商数量来模拟不完全竞争市场，教师端查看钢材集中交易情况、铁精粉竞标结果等。</w:t>
            </w:r>
            <w:bookmarkStart w:id="10" w:name="_Toc524033511"/>
          </w:p>
          <w:p w14:paraId="52678621">
            <w:pPr>
              <w:widowControl/>
              <w:ind w:left="360"/>
              <w:jc w:val="left"/>
              <w:rPr>
                <w:rFonts w:ascii="宋体" w:hAnsi="宋体" w:eastAsia="宋体" w:cs="宋体"/>
                <w:szCs w:val="21"/>
              </w:rPr>
            </w:pPr>
            <w:r>
              <w:rPr>
                <w:rFonts w:hint="eastAsia" w:ascii="宋体" w:hAnsi="宋体" w:eastAsia="宋体" w:cs="宋体"/>
                <w:szCs w:val="21"/>
              </w:rPr>
              <w:t>【国际要素流动与跨国直接投资】</w:t>
            </w:r>
            <w:bookmarkEnd w:id="10"/>
            <w:r>
              <w:rPr>
                <w:rFonts w:hint="eastAsia" w:ascii="宋体" w:hAnsi="宋体" w:eastAsia="宋体" w:cs="宋体"/>
                <w:szCs w:val="21"/>
              </w:rPr>
              <w:t>各国政府通颁布劳动力最低工资、劳动力跨国流动系数、货币发行量影响要素市场的供给。可查看各国商业贷款、劳动力要素竞标情况，还可查看各国组间贷款等资本跨国流动情况。</w:t>
            </w:r>
          </w:p>
          <w:p w14:paraId="4DADC7CC">
            <w:pPr>
              <w:widowControl/>
              <w:ind w:left="360"/>
              <w:jc w:val="left"/>
              <w:rPr>
                <w:rFonts w:ascii="宋体" w:hAnsi="宋体" w:eastAsia="宋体" w:cs="宋体"/>
                <w:szCs w:val="21"/>
              </w:rPr>
            </w:pPr>
            <w:r>
              <w:rPr>
                <w:rFonts w:hint="eastAsia" w:ascii="宋体" w:hAnsi="宋体" w:eastAsia="宋体" w:cs="宋体"/>
                <w:szCs w:val="21"/>
              </w:rPr>
              <w:t>【绩效管理】老师端每期结束后，可查看当期各国进出口情况、各国关税收入、各国名义与实际GDP（含各厂商贡献的GDP明细）、CPI、个人总收入厂商收入及政府收入、财政赤字及赤字扣分，以便老师对各国经济情况进行点评。</w:t>
            </w:r>
          </w:p>
          <w:p w14:paraId="6C34C9C0">
            <w:pPr>
              <w:widowControl/>
              <w:ind w:left="360"/>
              <w:jc w:val="left"/>
              <w:rPr>
                <w:rFonts w:ascii="宋体" w:hAnsi="宋体" w:eastAsia="宋体" w:cs="宋体"/>
                <w:szCs w:val="21"/>
              </w:rPr>
            </w:pPr>
            <w:r>
              <w:rPr>
                <w:rFonts w:hint="eastAsia" w:ascii="宋体" w:hAnsi="宋体" w:eastAsia="宋体" w:cs="宋体"/>
                <w:szCs w:val="21"/>
              </w:rPr>
              <w:t>【教学评分】老师在建班时可设置宏观经济指标得分按达到各国政府实现竞选指标得分，还是按国家之间宏观经济指标排名得分；未当选政府小组按经济预测得分。</w:t>
            </w:r>
          </w:p>
          <w:p w14:paraId="178D350D">
            <w:pPr>
              <w:numPr>
                <w:ilvl w:val="3"/>
                <w:numId w:val="18"/>
              </w:numPr>
              <w:rPr>
                <w:rFonts w:ascii="宋体" w:hAnsi="宋体" w:eastAsia="宋体" w:cs="宋体"/>
                <w:szCs w:val="21"/>
              </w:rPr>
            </w:pPr>
            <w:r>
              <w:rPr>
                <w:rFonts w:hint="eastAsia" w:ascii="宋体" w:hAnsi="宋体" w:eastAsia="宋体" w:cs="宋体"/>
                <w:szCs w:val="21"/>
              </w:rPr>
              <w:t>学生端功能</w:t>
            </w:r>
          </w:p>
          <w:p w14:paraId="605FBB97">
            <w:pPr>
              <w:ind w:firstLine="420" w:firstLineChars="200"/>
              <w:rPr>
                <w:rFonts w:ascii="宋体" w:hAnsi="宋体" w:eastAsia="宋体" w:cs="宋体"/>
                <w:szCs w:val="21"/>
              </w:rPr>
            </w:pPr>
            <w:r>
              <w:rPr>
                <w:rFonts w:hint="eastAsia" w:ascii="宋体" w:hAnsi="宋体" w:eastAsia="宋体" w:cs="宋体"/>
                <w:szCs w:val="21"/>
              </w:rPr>
              <w:t>学生端功能包括要素禀赋与比较优势，关税、非关税壁垒与贸易保护，汇率与国际收支平衡，需求、技术变化与国际贸易，规模经济、不完全竞争，国际要素流动与跨国直接投资，年终事宜等功能模块。</w:t>
            </w:r>
          </w:p>
          <w:p w14:paraId="7640D4A2">
            <w:pPr>
              <w:widowControl/>
              <w:ind w:left="360"/>
              <w:jc w:val="left"/>
              <w:rPr>
                <w:rFonts w:ascii="宋体" w:hAnsi="宋体" w:eastAsia="宋体" w:cs="宋体"/>
                <w:szCs w:val="21"/>
              </w:rPr>
            </w:pPr>
            <w:r>
              <w:rPr>
                <w:rFonts w:hint="eastAsia" w:ascii="宋体" w:hAnsi="宋体" w:eastAsia="宋体" w:cs="宋体"/>
                <w:szCs w:val="21"/>
              </w:rPr>
              <w:t>【要素禀赋与比较优势】可查看实验设置的国家数量、各国厂商数量和劳动力总量系数、决策历史、小组信息、制胜法宝、实时盘点、历史消息。劳动力总量系数越低的国家，越有可能拥有高档产品生产线，且生产线效率会随工资而升高。</w:t>
            </w:r>
          </w:p>
          <w:p w14:paraId="1D7B04E1">
            <w:pPr>
              <w:widowControl/>
              <w:ind w:left="360"/>
              <w:jc w:val="left"/>
              <w:rPr>
                <w:rFonts w:ascii="宋体" w:hAnsi="宋体" w:eastAsia="宋体" w:cs="宋体"/>
                <w:szCs w:val="21"/>
              </w:rPr>
            </w:pPr>
            <w:r>
              <w:rPr>
                <w:rFonts w:hint="eastAsia" w:ascii="宋体" w:hAnsi="宋体" w:eastAsia="宋体" w:cs="宋体"/>
                <w:szCs w:val="21"/>
              </w:rPr>
              <w:t>【关税、非关税壁垒与贸易保护】出口商负担出口关税、进口商负担进口关税，各厂商可指向其他国家各厂商进行汽车、钢铁、铁精粉的进出口,并自动计算关税。</w:t>
            </w:r>
          </w:p>
          <w:p w14:paraId="421FDF09">
            <w:pPr>
              <w:widowControl/>
              <w:ind w:left="360"/>
              <w:jc w:val="left"/>
              <w:rPr>
                <w:rFonts w:ascii="宋体" w:hAnsi="宋体" w:eastAsia="宋体" w:cs="宋体"/>
                <w:szCs w:val="21"/>
              </w:rPr>
            </w:pPr>
            <w:r>
              <w:rPr>
                <w:rFonts w:hint="eastAsia" w:ascii="宋体" w:hAnsi="宋体" w:eastAsia="宋体" w:cs="宋体"/>
                <w:szCs w:val="21"/>
              </w:rPr>
              <w:t>【汇率与国际收支平衡】当汇率会影响原料进出口、产成品进出口、进口生产线价格。还会影响跨国借贷的汇率损益。</w:t>
            </w:r>
          </w:p>
          <w:p w14:paraId="7A897626">
            <w:pPr>
              <w:widowControl/>
              <w:ind w:left="360"/>
              <w:jc w:val="left"/>
              <w:rPr>
                <w:rFonts w:ascii="宋体" w:hAnsi="宋体" w:eastAsia="宋体" w:cs="宋体"/>
                <w:szCs w:val="21"/>
              </w:rPr>
            </w:pPr>
            <w:r>
              <w:rPr>
                <w:rFonts w:hint="eastAsia" w:ascii="宋体" w:hAnsi="宋体" w:eastAsia="宋体" w:cs="宋体"/>
                <w:szCs w:val="21"/>
              </w:rPr>
              <w:t>【需求、技术变化与国际贸易】各国厂商的高档和普通商品生产线，均可通过翻新技术改造，延长产品生命周期。各厂商可根据绝对优势与比较优势交易产品、合作生产。高档生产线可由劳动力系数较低的国家向劳动力系数较高的国家转移，实现技术的跨国流动。各厂商可参与高档、普通订单竞标，查看竞标结果，在竞标前可订单模拟。</w:t>
            </w:r>
          </w:p>
          <w:p w14:paraId="065199EC">
            <w:pPr>
              <w:widowControl/>
              <w:ind w:left="360"/>
              <w:jc w:val="left"/>
              <w:rPr>
                <w:rFonts w:ascii="宋体" w:hAnsi="宋体" w:eastAsia="宋体" w:cs="宋体"/>
                <w:szCs w:val="21"/>
              </w:rPr>
            </w:pPr>
            <w:r>
              <w:rPr>
                <w:rFonts w:hint="eastAsia" w:ascii="宋体" w:hAnsi="宋体" w:eastAsia="宋体" w:cs="宋体"/>
                <w:szCs w:val="21"/>
              </w:rPr>
              <w:t>【规模经济、不完全竞争】各国厂商可进行钢材采购、铁精粉竞标等操作并存在规模采购原料的经济优势。预定期货（当年预定次年初到货）时，价格也更低。各厂商都可以跨行业建立生产线并进行生产，以防止不完全竞争。生产线每年折旧5%，产能亦每年递减5%。各生产线产能提升方式：劳动力投入数量增加、支付大额加班费、翻新改造。通过产能模拟可知每条高档和普通生产线的生产能力（边际产能递减）。</w:t>
            </w:r>
          </w:p>
          <w:p w14:paraId="005765C4">
            <w:pPr>
              <w:widowControl/>
              <w:ind w:left="360"/>
              <w:jc w:val="left"/>
              <w:rPr>
                <w:rFonts w:ascii="宋体" w:hAnsi="宋体" w:eastAsia="宋体" w:cs="宋体"/>
                <w:szCs w:val="21"/>
              </w:rPr>
            </w:pPr>
            <w:r>
              <w:rPr>
                <w:rFonts w:hint="eastAsia" w:ascii="宋体" w:hAnsi="宋体" w:eastAsia="宋体" w:cs="宋体"/>
                <w:szCs w:val="21"/>
              </w:rPr>
              <w:t>【国际要素流动与跨国直接投资】各国厂商可以跨国借出、贷入资金。且国家内部可以进行商业贷款、劳动力的竞标模拟。</w:t>
            </w:r>
          </w:p>
          <w:p w14:paraId="77FB1E7F">
            <w:pPr>
              <w:widowControl/>
              <w:ind w:left="360"/>
              <w:jc w:val="left"/>
              <w:rPr>
                <w:rFonts w:ascii="宋体" w:hAnsi="宋体" w:eastAsia="宋体" w:cs="宋体"/>
                <w:szCs w:val="21"/>
              </w:rPr>
            </w:pPr>
            <w:r>
              <w:rPr>
                <w:rFonts w:hint="eastAsia" w:ascii="宋体" w:hAnsi="宋体" w:eastAsia="宋体" w:cs="宋体"/>
                <w:szCs w:val="21"/>
              </w:rPr>
              <w:t>【绩效查看】各组可查看本国和他国各组的国际收支平衡情况，生产线翻新改造信息，原料及产成品信息，交付订单情况。经营结束查看系统自动生成的各国各组利润表、资产负债表，以分析自己当期经营情况。查看各国宏观经济数据统计结果，以及各国各组得分。</w:t>
            </w:r>
          </w:p>
        </w:tc>
        <w:tc>
          <w:tcPr>
            <w:tcW w:w="885" w:type="dxa"/>
            <w:tcBorders>
              <w:top w:val="nil"/>
              <w:left w:val="nil"/>
              <w:bottom w:val="single" w:color="auto" w:sz="4" w:space="0"/>
              <w:right w:val="single" w:color="auto" w:sz="4" w:space="0"/>
            </w:tcBorders>
            <w:shd w:val="clear" w:color="auto" w:fill="auto"/>
            <w:noWrap/>
            <w:vAlign w:val="center"/>
          </w:tcPr>
          <w:p w14:paraId="6A29149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33.8</w:t>
            </w:r>
          </w:p>
        </w:tc>
        <w:tc>
          <w:tcPr>
            <w:tcW w:w="840" w:type="dxa"/>
            <w:tcBorders>
              <w:top w:val="nil"/>
              <w:left w:val="nil"/>
              <w:bottom w:val="single" w:color="auto" w:sz="4" w:space="0"/>
              <w:right w:val="single" w:color="auto" w:sz="4" w:space="0"/>
            </w:tcBorders>
            <w:shd w:val="clear" w:color="auto" w:fill="auto"/>
            <w:noWrap/>
            <w:vAlign w:val="center"/>
          </w:tcPr>
          <w:p w14:paraId="6D57753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1套</w:t>
            </w:r>
          </w:p>
        </w:tc>
        <w:tc>
          <w:tcPr>
            <w:tcW w:w="1110" w:type="dxa"/>
            <w:tcBorders>
              <w:top w:val="nil"/>
              <w:left w:val="nil"/>
              <w:bottom w:val="single" w:color="auto" w:sz="4" w:space="0"/>
              <w:right w:val="single" w:color="auto" w:sz="4" w:space="0"/>
            </w:tcBorders>
            <w:shd w:val="clear" w:color="auto" w:fill="auto"/>
            <w:noWrap/>
            <w:vAlign w:val="center"/>
          </w:tcPr>
          <w:p w14:paraId="1D101E1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33.8</w:t>
            </w:r>
          </w:p>
        </w:tc>
        <w:tc>
          <w:tcPr>
            <w:tcW w:w="1290" w:type="dxa"/>
            <w:tcBorders>
              <w:top w:val="nil"/>
              <w:left w:val="nil"/>
              <w:bottom w:val="single" w:color="auto" w:sz="4" w:space="0"/>
              <w:right w:val="single" w:color="auto" w:sz="4" w:space="0"/>
            </w:tcBorders>
            <w:shd w:val="clear" w:color="auto" w:fill="auto"/>
            <w:noWrap/>
            <w:vAlign w:val="center"/>
          </w:tcPr>
          <w:p w14:paraId="2F6AAE3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nil"/>
              <w:left w:val="nil"/>
              <w:bottom w:val="single" w:color="auto" w:sz="4" w:space="0"/>
              <w:right w:val="single" w:color="auto" w:sz="4" w:space="0"/>
            </w:tcBorders>
            <w:shd w:val="clear" w:color="auto" w:fill="auto"/>
            <w:noWrap/>
            <w:vAlign w:val="center"/>
          </w:tcPr>
          <w:p w14:paraId="77F44DC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1BFD6701">
        <w:tblPrEx>
          <w:tblCellMar>
            <w:top w:w="0" w:type="dxa"/>
            <w:left w:w="108" w:type="dxa"/>
            <w:bottom w:w="0" w:type="dxa"/>
            <w:right w:w="108" w:type="dxa"/>
          </w:tblCellMar>
        </w:tblPrEx>
        <w:trPr>
          <w:trHeight w:val="480" w:hRule="atLeast"/>
        </w:trPr>
        <w:tc>
          <w:tcPr>
            <w:tcW w:w="443" w:type="dxa"/>
            <w:tcBorders>
              <w:top w:val="nil"/>
              <w:left w:val="single" w:color="auto" w:sz="4" w:space="0"/>
              <w:bottom w:val="single" w:color="auto" w:sz="4" w:space="0"/>
              <w:right w:val="single" w:color="auto" w:sz="4" w:space="0"/>
            </w:tcBorders>
            <w:shd w:val="clear" w:color="auto" w:fill="auto"/>
            <w:noWrap/>
            <w:vAlign w:val="center"/>
          </w:tcPr>
          <w:p w14:paraId="72AD47F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2025" w:type="dxa"/>
            <w:tcBorders>
              <w:top w:val="nil"/>
              <w:left w:val="nil"/>
              <w:bottom w:val="single" w:color="auto" w:sz="4" w:space="0"/>
              <w:right w:val="single" w:color="auto" w:sz="4" w:space="0"/>
            </w:tcBorders>
            <w:shd w:val="clear" w:color="auto" w:fill="auto"/>
            <w:noWrap/>
          </w:tcPr>
          <w:p w14:paraId="783C6CED">
            <w:pPr>
              <w:jc w:val="center"/>
              <w:rPr>
                <w:rFonts w:ascii="宋体" w:hAnsi="宋体" w:eastAsia="宋体" w:cs="宋体"/>
                <w:color w:val="000000"/>
                <w:kern w:val="0"/>
                <w:szCs w:val="21"/>
              </w:rPr>
            </w:pPr>
            <w:r>
              <w:rPr>
                <w:rFonts w:hint="eastAsia" w:ascii="宋体" w:hAnsi="宋体" w:eastAsia="宋体" w:cs="宋体"/>
                <w:szCs w:val="21"/>
              </w:rPr>
              <w:t>六边形电脑桌</w:t>
            </w:r>
          </w:p>
        </w:tc>
        <w:tc>
          <w:tcPr>
            <w:tcW w:w="6030" w:type="dxa"/>
            <w:tcBorders>
              <w:top w:val="nil"/>
              <w:left w:val="nil"/>
              <w:bottom w:val="single" w:color="auto" w:sz="4" w:space="0"/>
              <w:right w:val="single" w:color="auto" w:sz="4" w:space="0"/>
            </w:tcBorders>
            <w:shd w:val="clear" w:color="auto" w:fill="auto"/>
            <w:noWrap/>
          </w:tcPr>
          <w:p w14:paraId="348DC07A">
            <w:pPr>
              <w:rPr>
                <w:rFonts w:ascii="宋体" w:hAnsi="宋体" w:eastAsia="宋体" w:cs="宋体"/>
                <w:color w:val="000000"/>
                <w:kern w:val="0"/>
                <w:szCs w:val="21"/>
              </w:rPr>
            </w:pPr>
            <w:r>
              <w:rPr>
                <w:rFonts w:hint="eastAsia" w:ascii="宋体" w:hAnsi="宋体" w:eastAsia="宋体" w:cs="宋体"/>
                <w:szCs w:val="21"/>
              </w:rPr>
              <w:t>边长为100CM的六边形桌子，白色优质三聚氰胺板，</w:t>
            </w:r>
            <w:r>
              <w:rPr>
                <w:rFonts w:hint="eastAsia" w:ascii="宋体" w:hAnsi="宋体" w:eastAsia="宋体" w:cs="宋体"/>
                <w:szCs w:val="21"/>
                <w:lang w:eastAsia="zh-CN"/>
              </w:rPr>
              <w:t>金色</w:t>
            </w:r>
            <w:r>
              <w:rPr>
                <w:rFonts w:hint="eastAsia" w:ascii="宋体" w:hAnsi="宋体" w:eastAsia="宋体" w:cs="宋体"/>
                <w:szCs w:val="21"/>
              </w:rPr>
              <w:t>直封边，防潮耐磨，如图2所示</w:t>
            </w:r>
          </w:p>
        </w:tc>
        <w:tc>
          <w:tcPr>
            <w:tcW w:w="885" w:type="dxa"/>
            <w:tcBorders>
              <w:top w:val="nil"/>
              <w:left w:val="nil"/>
              <w:bottom w:val="single" w:color="auto" w:sz="4" w:space="0"/>
              <w:right w:val="single" w:color="auto" w:sz="4" w:space="0"/>
            </w:tcBorders>
            <w:shd w:val="clear" w:color="auto" w:fill="auto"/>
            <w:noWrap/>
          </w:tcPr>
          <w:p w14:paraId="266A9E3A">
            <w:pPr>
              <w:jc w:val="center"/>
              <w:rPr>
                <w:rFonts w:ascii="宋体" w:hAnsi="宋体" w:eastAsia="宋体" w:cs="宋体"/>
                <w:color w:val="000000"/>
                <w:kern w:val="0"/>
                <w:szCs w:val="21"/>
              </w:rPr>
            </w:pPr>
            <w:r>
              <w:rPr>
                <w:rFonts w:hint="eastAsia" w:ascii="宋体" w:hAnsi="宋体" w:eastAsia="宋体" w:cs="宋体"/>
                <w:color w:val="000000"/>
                <w:kern w:val="0"/>
                <w:szCs w:val="21"/>
              </w:rPr>
              <w:t>0.5</w:t>
            </w:r>
          </w:p>
        </w:tc>
        <w:tc>
          <w:tcPr>
            <w:tcW w:w="840" w:type="dxa"/>
            <w:tcBorders>
              <w:top w:val="nil"/>
              <w:left w:val="nil"/>
              <w:bottom w:val="single" w:color="auto" w:sz="4" w:space="0"/>
              <w:right w:val="single" w:color="auto" w:sz="4" w:space="0"/>
            </w:tcBorders>
            <w:shd w:val="clear" w:color="auto" w:fill="auto"/>
            <w:noWrap/>
          </w:tcPr>
          <w:p w14:paraId="36E171D4">
            <w:pPr>
              <w:jc w:val="center"/>
              <w:rPr>
                <w:rFonts w:ascii="宋体" w:hAnsi="宋体" w:eastAsia="宋体" w:cs="宋体"/>
                <w:color w:val="000000"/>
                <w:kern w:val="0"/>
                <w:szCs w:val="21"/>
              </w:rPr>
            </w:pPr>
            <w:r>
              <w:rPr>
                <w:rFonts w:hint="eastAsia" w:ascii="宋体" w:hAnsi="宋体" w:eastAsia="宋体" w:cs="宋体"/>
                <w:szCs w:val="21"/>
              </w:rPr>
              <w:t>9张</w:t>
            </w:r>
          </w:p>
        </w:tc>
        <w:tc>
          <w:tcPr>
            <w:tcW w:w="1110" w:type="dxa"/>
            <w:tcBorders>
              <w:top w:val="nil"/>
              <w:left w:val="nil"/>
              <w:bottom w:val="single" w:color="auto" w:sz="4" w:space="0"/>
              <w:right w:val="single" w:color="auto" w:sz="4" w:space="0"/>
            </w:tcBorders>
            <w:shd w:val="clear" w:color="auto" w:fill="auto"/>
            <w:noWrap/>
          </w:tcPr>
          <w:p w14:paraId="55831EB1">
            <w:pPr>
              <w:jc w:val="center"/>
              <w:rPr>
                <w:rFonts w:ascii="宋体" w:hAnsi="宋体" w:eastAsia="宋体" w:cs="宋体"/>
                <w:color w:val="000000"/>
                <w:kern w:val="0"/>
                <w:szCs w:val="21"/>
              </w:rPr>
            </w:pPr>
            <w:r>
              <w:rPr>
                <w:rFonts w:hint="eastAsia" w:ascii="宋体" w:hAnsi="宋体" w:eastAsia="宋体" w:cs="宋体"/>
                <w:color w:val="000000"/>
                <w:kern w:val="0"/>
                <w:szCs w:val="21"/>
              </w:rPr>
              <w:t>4.5</w:t>
            </w:r>
          </w:p>
        </w:tc>
        <w:tc>
          <w:tcPr>
            <w:tcW w:w="1290" w:type="dxa"/>
            <w:tcBorders>
              <w:top w:val="nil"/>
              <w:left w:val="nil"/>
              <w:bottom w:val="single" w:color="auto" w:sz="4" w:space="0"/>
              <w:right w:val="single" w:color="auto" w:sz="4" w:space="0"/>
            </w:tcBorders>
            <w:shd w:val="clear" w:color="auto" w:fill="auto"/>
            <w:noWrap/>
            <w:vAlign w:val="center"/>
          </w:tcPr>
          <w:p w14:paraId="670900B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nil"/>
              <w:left w:val="nil"/>
              <w:bottom w:val="single" w:color="auto" w:sz="4" w:space="0"/>
              <w:right w:val="single" w:color="auto" w:sz="4" w:space="0"/>
            </w:tcBorders>
            <w:shd w:val="clear" w:color="auto" w:fill="auto"/>
            <w:noWrap/>
            <w:vAlign w:val="center"/>
          </w:tcPr>
          <w:p w14:paraId="26142A1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66C3EB64">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6D994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40A4EE44">
            <w:pPr>
              <w:jc w:val="center"/>
              <w:rPr>
                <w:rFonts w:ascii="宋体" w:hAnsi="宋体" w:eastAsia="宋体" w:cs="宋体"/>
                <w:color w:val="000000"/>
                <w:kern w:val="0"/>
                <w:szCs w:val="21"/>
              </w:rPr>
            </w:pPr>
            <w:r>
              <w:rPr>
                <w:rFonts w:hint="eastAsia" w:ascii="宋体" w:hAnsi="宋体" w:eastAsia="宋体" w:cs="宋体"/>
                <w:szCs w:val="21"/>
              </w:rPr>
              <w:t>靠背椅子</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7C0A4A1B">
            <w:pPr>
              <w:rPr>
                <w:rFonts w:ascii="宋体" w:hAnsi="宋体" w:eastAsia="宋体" w:cs="宋体"/>
                <w:color w:val="000000"/>
                <w:kern w:val="0"/>
                <w:szCs w:val="21"/>
              </w:rPr>
            </w:pPr>
            <w:r>
              <w:rPr>
                <w:rFonts w:hint="eastAsia" w:ascii="宋体" w:hAnsi="宋体" w:eastAsia="宋体" w:cs="宋体"/>
                <w:szCs w:val="21"/>
              </w:rPr>
              <w:t>如图2所示</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2FB26462">
            <w:pPr>
              <w:jc w:val="center"/>
              <w:rPr>
                <w:rFonts w:ascii="宋体" w:hAnsi="宋体" w:eastAsia="宋体" w:cs="宋体"/>
                <w:color w:val="000000"/>
                <w:kern w:val="0"/>
                <w:szCs w:val="21"/>
              </w:rPr>
            </w:pPr>
            <w:r>
              <w:rPr>
                <w:rFonts w:hint="eastAsia" w:ascii="宋体" w:hAnsi="宋体" w:eastAsia="宋体" w:cs="宋体"/>
                <w:szCs w:val="21"/>
              </w:rPr>
              <w:t>0.02</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6484A0BA">
            <w:pPr>
              <w:jc w:val="center"/>
              <w:rPr>
                <w:rFonts w:ascii="宋体" w:hAnsi="宋体" w:eastAsia="宋体" w:cs="宋体"/>
                <w:color w:val="000000"/>
                <w:kern w:val="0"/>
                <w:szCs w:val="21"/>
              </w:rPr>
            </w:pPr>
            <w:r>
              <w:rPr>
                <w:rFonts w:hint="eastAsia" w:ascii="宋体" w:hAnsi="宋体" w:eastAsia="宋体" w:cs="宋体"/>
                <w:szCs w:val="21"/>
              </w:rPr>
              <w:t>49个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61905017">
            <w:pPr>
              <w:jc w:val="center"/>
              <w:rPr>
                <w:rFonts w:ascii="宋体" w:hAnsi="宋体" w:eastAsia="宋体" w:cs="宋体"/>
                <w:color w:val="000000"/>
                <w:kern w:val="0"/>
                <w:szCs w:val="21"/>
              </w:rPr>
            </w:pPr>
            <w:r>
              <w:rPr>
                <w:rFonts w:hint="eastAsia" w:ascii="宋体" w:hAnsi="宋体" w:eastAsia="宋体" w:cs="宋体"/>
                <w:color w:val="000000"/>
                <w:kern w:val="0"/>
                <w:szCs w:val="21"/>
              </w:rPr>
              <w:t>0.98</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9BAF2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6754C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61DD4384">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0E48D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41AEE2CB">
            <w:pPr>
              <w:jc w:val="center"/>
              <w:rPr>
                <w:rFonts w:ascii="宋体" w:hAnsi="宋体" w:eastAsia="宋体" w:cs="宋体"/>
                <w:color w:val="000000"/>
                <w:kern w:val="0"/>
                <w:szCs w:val="21"/>
              </w:rPr>
            </w:pPr>
            <w:r>
              <w:rPr>
                <w:rFonts w:hint="eastAsia" w:ascii="宋体" w:hAnsi="宋体" w:eastAsia="宋体" w:cs="宋体"/>
                <w:szCs w:val="21"/>
              </w:rPr>
              <w:t>多媒体讲台</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40D200F7">
            <w:pPr>
              <w:rPr>
                <w:rFonts w:ascii="宋体" w:hAnsi="宋体" w:eastAsia="宋体" w:cs="宋体"/>
                <w:color w:val="000000"/>
                <w:kern w:val="0"/>
                <w:szCs w:val="21"/>
              </w:rPr>
            </w:pPr>
            <w:r>
              <w:rPr>
                <w:rFonts w:hint="eastAsia" w:ascii="宋体" w:hAnsi="宋体" w:eastAsia="宋体" w:cs="宋体"/>
                <w:szCs w:val="21"/>
              </w:rPr>
              <w:t>钢制，用于存放讲师电脑和功放</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36CD6734">
            <w:pPr>
              <w:jc w:val="center"/>
              <w:rPr>
                <w:rFonts w:ascii="宋体" w:hAnsi="宋体" w:eastAsia="宋体" w:cs="宋体"/>
                <w:color w:val="000000"/>
                <w:kern w:val="0"/>
                <w:szCs w:val="21"/>
              </w:rPr>
            </w:pPr>
            <w:r>
              <w:rPr>
                <w:rFonts w:hint="eastAsia" w:ascii="宋体" w:hAnsi="宋体" w:eastAsia="宋体" w:cs="宋体"/>
                <w:szCs w:val="21"/>
              </w:rPr>
              <w:t>0.3</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67F1597E">
            <w:pPr>
              <w:jc w:val="center"/>
              <w:rPr>
                <w:rFonts w:ascii="宋体" w:hAnsi="宋体" w:eastAsia="宋体" w:cs="宋体"/>
                <w:color w:val="000000"/>
                <w:kern w:val="0"/>
                <w:szCs w:val="21"/>
              </w:rPr>
            </w:pPr>
            <w:r>
              <w:rPr>
                <w:rFonts w:hint="eastAsia" w:ascii="宋体" w:hAnsi="宋体" w:eastAsia="宋体" w:cs="宋体"/>
                <w:szCs w:val="21"/>
              </w:rPr>
              <w:t>1张</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2746FF16">
            <w:pPr>
              <w:jc w:val="center"/>
              <w:rPr>
                <w:rFonts w:ascii="宋体" w:hAnsi="宋体" w:eastAsia="宋体" w:cs="宋体"/>
                <w:color w:val="000000"/>
                <w:kern w:val="0"/>
                <w:szCs w:val="21"/>
              </w:rPr>
            </w:pPr>
            <w:r>
              <w:rPr>
                <w:rFonts w:hint="eastAsia" w:ascii="宋体" w:hAnsi="宋体" w:eastAsia="宋体" w:cs="宋体"/>
                <w:color w:val="000000"/>
                <w:kern w:val="0"/>
                <w:szCs w:val="21"/>
              </w:rPr>
              <w:t>0.3</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91CA7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59B4F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5733668D">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39417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3A268E48">
            <w:pPr>
              <w:jc w:val="center"/>
              <w:rPr>
                <w:rFonts w:ascii="宋体" w:hAnsi="宋体" w:eastAsia="宋体" w:cs="宋体"/>
                <w:color w:val="000000"/>
                <w:kern w:val="0"/>
                <w:szCs w:val="21"/>
              </w:rPr>
            </w:pPr>
            <w:r>
              <w:rPr>
                <w:rFonts w:hint="eastAsia" w:ascii="宋体" w:hAnsi="宋体" w:eastAsia="宋体" w:cs="宋体"/>
                <w:szCs w:val="21"/>
              </w:rPr>
              <w:t>投影仪</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6D41CE83">
            <w:pPr>
              <w:rPr>
                <w:rFonts w:ascii="宋体" w:hAnsi="宋体" w:eastAsia="宋体" w:cs="宋体"/>
                <w:color w:val="000000"/>
                <w:kern w:val="0"/>
                <w:szCs w:val="21"/>
              </w:rPr>
            </w:pPr>
            <w:r>
              <w:rPr>
                <w:rFonts w:hint="eastAsia" w:ascii="宋体" w:hAnsi="宋体" w:eastAsia="宋体" w:cs="宋体"/>
                <w:color w:val="000000"/>
                <w:szCs w:val="21"/>
                <w:shd w:val="clear" w:color="auto" w:fill="FFFFFF"/>
              </w:rPr>
              <w:t>投影技术：LCD；技术规格：0.63英寸多晶硅有源矩阵式TFT液晶板×3；像素数：786,432像素(H1,024 ×V768)；投影机亮度：4000流明；对比度：2000:1；标准分辨率：1024×768；投影色彩：16.77M色；屏幕比例：4:3(兼容16:9)；投影方式：前投/背投, 桌上/吊装；输入：VGA×2，复合视频×1，控制口X1；控制：可通过通用控制口进行线控，也可以通过遥控器进行无线遥控。灯泡使用正常模式寿命5000小时/节能待机功耗0.4W/小时。</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32FFDD86">
            <w:pPr>
              <w:jc w:val="center"/>
              <w:rPr>
                <w:rFonts w:ascii="宋体" w:hAnsi="宋体" w:eastAsia="宋体" w:cs="宋体"/>
                <w:color w:val="000000"/>
                <w:kern w:val="0"/>
                <w:szCs w:val="21"/>
              </w:rPr>
            </w:pPr>
            <w:r>
              <w:rPr>
                <w:rFonts w:hint="eastAsia" w:ascii="宋体" w:hAnsi="宋体" w:eastAsia="宋体" w:cs="宋体"/>
                <w:szCs w:val="21"/>
              </w:rPr>
              <w:t>1.02</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104CBBFD">
            <w:pPr>
              <w:jc w:val="center"/>
              <w:rPr>
                <w:rFonts w:ascii="宋体" w:hAnsi="宋体" w:eastAsia="宋体" w:cs="宋体"/>
                <w:color w:val="000000"/>
                <w:kern w:val="0"/>
                <w:szCs w:val="21"/>
              </w:rPr>
            </w:pPr>
            <w:r>
              <w:rPr>
                <w:rFonts w:hint="eastAsia" w:ascii="宋体" w:hAnsi="宋体" w:eastAsia="宋体" w:cs="宋体"/>
                <w:szCs w:val="21"/>
              </w:rPr>
              <w:t>2个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0B032213">
            <w:pPr>
              <w:jc w:val="center"/>
              <w:rPr>
                <w:rFonts w:ascii="宋体" w:hAnsi="宋体" w:eastAsia="宋体" w:cs="宋体"/>
                <w:color w:val="000000"/>
                <w:kern w:val="0"/>
                <w:szCs w:val="21"/>
              </w:rPr>
            </w:pPr>
            <w:r>
              <w:rPr>
                <w:rFonts w:hint="eastAsia" w:ascii="宋体" w:hAnsi="宋体" w:eastAsia="宋体" w:cs="宋体"/>
                <w:color w:val="000000"/>
                <w:kern w:val="0"/>
                <w:szCs w:val="21"/>
              </w:rPr>
              <w:t>2.04</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9D47A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7BD79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01CD55E2">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AFD01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72A507B2">
            <w:pPr>
              <w:jc w:val="center"/>
              <w:rPr>
                <w:rFonts w:ascii="宋体" w:hAnsi="宋体" w:eastAsia="宋体" w:cs="宋体"/>
                <w:color w:val="000000"/>
                <w:kern w:val="0"/>
                <w:szCs w:val="21"/>
              </w:rPr>
            </w:pPr>
            <w:r>
              <w:rPr>
                <w:rFonts w:hint="eastAsia" w:ascii="宋体" w:hAnsi="宋体" w:eastAsia="宋体" w:cs="宋体"/>
                <w:szCs w:val="21"/>
              </w:rPr>
              <w:t>投影幕布</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00ACB653">
            <w:pPr>
              <w:rPr>
                <w:rFonts w:ascii="宋体" w:hAnsi="宋体" w:eastAsia="宋体" w:cs="宋体"/>
                <w:color w:val="000000"/>
                <w:kern w:val="0"/>
                <w:szCs w:val="21"/>
              </w:rPr>
            </w:pPr>
            <w:r>
              <w:rPr>
                <w:rFonts w:hint="eastAsia" w:ascii="宋体" w:hAnsi="宋体" w:eastAsia="宋体" w:cs="宋体"/>
                <w:color w:val="000000"/>
                <w:szCs w:val="21"/>
              </w:rPr>
              <w:t>电动，120英寸</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6637435B">
            <w:pPr>
              <w:jc w:val="center"/>
              <w:rPr>
                <w:rFonts w:ascii="宋体" w:hAnsi="宋体" w:eastAsia="宋体" w:cs="宋体"/>
                <w:color w:val="000000"/>
                <w:kern w:val="0"/>
                <w:szCs w:val="21"/>
              </w:rPr>
            </w:pPr>
            <w:r>
              <w:rPr>
                <w:rFonts w:hint="eastAsia" w:ascii="宋体" w:hAnsi="宋体" w:eastAsia="宋体" w:cs="宋体"/>
                <w:color w:val="000000"/>
                <w:kern w:val="0"/>
                <w:szCs w:val="21"/>
              </w:rPr>
              <w:t>0.1</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7C5DD856">
            <w:pPr>
              <w:jc w:val="center"/>
              <w:rPr>
                <w:rFonts w:ascii="宋体" w:hAnsi="宋体" w:eastAsia="宋体" w:cs="宋体"/>
                <w:color w:val="000000"/>
                <w:kern w:val="0"/>
                <w:szCs w:val="21"/>
              </w:rPr>
            </w:pPr>
            <w:r>
              <w:rPr>
                <w:rFonts w:hint="eastAsia" w:ascii="宋体" w:hAnsi="宋体" w:eastAsia="宋体" w:cs="宋体"/>
                <w:szCs w:val="21"/>
              </w:rPr>
              <w:t>2个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03F31854">
            <w:pPr>
              <w:jc w:val="center"/>
              <w:rPr>
                <w:rFonts w:ascii="宋体" w:hAnsi="宋体" w:eastAsia="宋体" w:cs="宋体"/>
                <w:color w:val="000000"/>
                <w:kern w:val="0"/>
                <w:szCs w:val="21"/>
              </w:rPr>
            </w:pPr>
            <w:r>
              <w:rPr>
                <w:rFonts w:hint="eastAsia" w:ascii="宋体" w:hAnsi="宋体" w:eastAsia="宋体" w:cs="宋体"/>
                <w:color w:val="000000"/>
                <w:kern w:val="0"/>
                <w:szCs w:val="21"/>
              </w:rPr>
              <w:t>0.2</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2CE53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E14C1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660A6D0F">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FC3EA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1D8E4CA8">
            <w:pPr>
              <w:jc w:val="center"/>
              <w:rPr>
                <w:rFonts w:ascii="宋体" w:hAnsi="宋体" w:eastAsia="宋体" w:cs="宋体"/>
                <w:color w:val="000000"/>
                <w:kern w:val="0"/>
                <w:szCs w:val="21"/>
              </w:rPr>
            </w:pPr>
            <w:r>
              <w:rPr>
                <w:rFonts w:hint="eastAsia" w:ascii="宋体" w:hAnsi="宋体" w:eastAsia="宋体" w:cs="宋体"/>
                <w:szCs w:val="21"/>
              </w:rPr>
              <w:t>黑板</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4680C73F">
            <w:pPr>
              <w:rPr>
                <w:rFonts w:ascii="宋体" w:hAnsi="宋体" w:eastAsia="宋体" w:cs="宋体"/>
                <w:color w:val="000000"/>
                <w:kern w:val="0"/>
                <w:szCs w:val="21"/>
              </w:rPr>
            </w:pPr>
            <w:r>
              <w:rPr>
                <w:rFonts w:hint="eastAsia" w:ascii="宋体" w:hAnsi="宋体" w:eastAsia="宋体" w:cs="宋体"/>
                <w:color w:val="000000"/>
                <w:szCs w:val="21"/>
              </w:rPr>
              <w:t>300cm*150cm以上</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3CB4361E">
            <w:pPr>
              <w:jc w:val="center"/>
              <w:rPr>
                <w:rFonts w:ascii="宋体" w:hAnsi="宋体" w:eastAsia="宋体" w:cs="宋体"/>
                <w:color w:val="000000"/>
                <w:kern w:val="0"/>
                <w:szCs w:val="21"/>
              </w:rPr>
            </w:pPr>
            <w:r>
              <w:rPr>
                <w:rFonts w:hint="eastAsia" w:ascii="宋体" w:hAnsi="宋体" w:eastAsia="宋体" w:cs="宋体"/>
                <w:szCs w:val="21"/>
              </w:rPr>
              <w:t>0.04</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5DEB99FA">
            <w:pPr>
              <w:jc w:val="center"/>
              <w:rPr>
                <w:rFonts w:ascii="宋体" w:hAnsi="宋体" w:eastAsia="宋体" w:cs="宋体"/>
                <w:color w:val="000000"/>
                <w:kern w:val="0"/>
                <w:szCs w:val="21"/>
              </w:rPr>
            </w:pPr>
            <w:r>
              <w:rPr>
                <w:rFonts w:hint="eastAsia" w:ascii="宋体" w:hAnsi="宋体" w:eastAsia="宋体" w:cs="宋体"/>
                <w:szCs w:val="21"/>
              </w:rPr>
              <w:t>2个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7FB47ED9">
            <w:pPr>
              <w:jc w:val="center"/>
              <w:rPr>
                <w:rFonts w:ascii="宋体" w:hAnsi="宋体" w:eastAsia="宋体" w:cs="宋体"/>
                <w:color w:val="000000"/>
                <w:kern w:val="0"/>
                <w:szCs w:val="21"/>
              </w:rPr>
            </w:pPr>
            <w:r>
              <w:rPr>
                <w:rFonts w:hint="eastAsia" w:ascii="宋体" w:hAnsi="宋体" w:eastAsia="宋体" w:cs="宋体"/>
                <w:color w:val="000000"/>
                <w:kern w:val="0"/>
                <w:szCs w:val="21"/>
              </w:rPr>
              <w:t>0.08</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5D841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1EB2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47A712A5">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20F3E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03083C5F">
            <w:pPr>
              <w:jc w:val="center"/>
              <w:rPr>
                <w:rFonts w:ascii="宋体" w:hAnsi="宋体" w:eastAsia="宋体" w:cs="宋体"/>
                <w:color w:val="000000"/>
                <w:kern w:val="0"/>
                <w:szCs w:val="21"/>
              </w:rPr>
            </w:pPr>
            <w:r>
              <w:rPr>
                <w:rFonts w:hint="eastAsia" w:ascii="宋体" w:hAnsi="宋体" w:eastAsia="宋体" w:cs="宋体"/>
                <w:szCs w:val="21"/>
              </w:rPr>
              <w:t>电脑（教师端和学生端）</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13F070D9">
            <w:pPr>
              <w:pStyle w:val="10"/>
              <w:rPr>
                <w:rFonts w:eastAsia="宋体"/>
                <w:color w:val="000000"/>
                <w:sz w:val="21"/>
                <w:szCs w:val="21"/>
              </w:rPr>
            </w:pPr>
            <w:r>
              <w:rPr>
                <w:rFonts w:hint="eastAsia" w:eastAsia="宋体"/>
                <w:color w:val="000000"/>
                <w:sz w:val="21"/>
                <w:szCs w:val="21"/>
              </w:rPr>
              <w:t>AOC AIO721 23.8英寸超薄IPS屏一体机台式电脑(i5-7400 8G 240G固态 双频WiFi 蓝牙 三年联保 </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08C54E3A">
            <w:pPr>
              <w:jc w:val="center"/>
              <w:rPr>
                <w:rFonts w:ascii="宋体" w:hAnsi="宋体" w:eastAsia="宋体" w:cs="宋体"/>
                <w:color w:val="000000"/>
                <w:kern w:val="0"/>
                <w:szCs w:val="21"/>
              </w:rPr>
            </w:pPr>
            <w:r>
              <w:rPr>
                <w:rFonts w:hint="eastAsia" w:ascii="宋体" w:hAnsi="宋体" w:eastAsia="宋体" w:cs="宋体"/>
                <w:szCs w:val="21"/>
              </w:rPr>
              <w:t>0.65</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420638AE">
            <w:pPr>
              <w:jc w:val="center"/>
              <w:rPr>
                <w:rFonts w:ascii="宋体" w:hAnsi="宋体" w:eastAsia="宋体" w:cs="宋体"/>
                <w:color w:val="000000"/>
                <w:kern w:val="0"/>
                <w:szCs w:val="21"/>
              </w:rPr>
            </w:pPr>
            <w:r>
              <w:rPr>
                <w:rFonts w:hint="eastAsia" w:ascii="宋体" w:hAnsi="宋体" w:eastAsia="宋体" w:cs="宋体"/>
                <w:szCs w:val="21"/>
              </w:rPr>
              <w:t>49台</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4886C84A">
            <w:pPr>
              <w:jc w:val="center"/>
              <w:rPr>
                <w:rFonts w:ascii="宋体" w:hAnsi="宋体" w:eastAsia="宋体" w:cs="宋体"/>
                <w:color w:val="000000"/>
                <w:kern w:val="0"/>
                <w:szCs w:val="21"/>
              </w:rPr>
            </w:pPr>
            <w:r>
              <w:rPr>
                <w:rFonts w:hint="eastAsia" w:ascii="宋体" w:hAnsi="宋体" w:eastAsia="宋体" w:cs="宋体"/>
                <w:color w:val="000000"/>
                <w:kern w:val="0"/>
                <w:szCs w:val="21"/>
              </w:rPr>
              <w:t>31.85</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49782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209A9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25AD6BD1">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29C91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0D2A7BAA">
            <w:pPr>
              <w:jc w:val="center"/>
              <w:rPr>
                <w:rFonts w:ascii="宋体" w:hAnsi="宋体" w:eastAsia="宋体" w:cs="宋体"/>
                <w:color w:val="000000"/>
                <w:kern w:val="0"/>
                <w:szCs w:val="21"/>
              </w:rPr>
            </w:pPr>
            <w:r>
              <w:rPr>
                <w:rFonts w:hint="eastAsia" w:ascii="宋体" w:hAnsi="宋体" w:eastAsia="宋体" w:cs="宋体"/>
                <w:szCs w:val="21"/>
              </w:rPr>
              <w:t>音响</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408BA21A">
            <w:pPr>
              <w:pStyle w:val="10"/>
              <w:rPr>
                <w:rFonts w:eastAsia="宋体"/>
                <w:color w:val="333333"/>
                <w:sz w:val="21"/>
                <w:szCs w:val="21"/>
              </w:rPr>
            </w:pPr>
            <w:r>
              <w:rPr>
                <w:rFonts w:hint="eastAsia" w:eastAsia="宋体"/>
                <w:color w:val="000000"/>
                <w:sz w:val="21"/>
                <w:szCs w:val="21"/>
              </w:rPr>
              <w:t>全频功放：输出功率:180W+180W;频率范围:20HZ-20KHZ;输入灵敏度:300Mv; 信噪比:〉85db;输入阻抗:47K欧/信号2K欧/话筒；麦克风输入：2*M6.35;冷却:1*风扇;保护:直流/软启动/短路;供电电源:220V-240V/AC/50HZ;耗电量:660VA。</w:t>
            </w:r>
          </w:p>
          <w:p w14:paraId="64165C49">
            <w:pPr>
              <w:pStyle w:val="10"/>
              <w:rPr>
                <w:rFonts w:eastAsia="宋体"/>
                <w:color w:val="000000"/>
                <w:sz w:val="21"/>
                <w:szCs w:val="21"/>
              </w:rPr>
            </w:pPr>
            <w:r>
              <w:rPr>
                <w:rFonts w:hint="eastAsia" w:eastAsia="宋体"/>
                <w:color w:val="000000"/>
                <w:sz w:val="21"/>
                <w:szCs w:val="21"/>
              </w:rPr>
              <w:t>全频音箱6个：低频单元:8寸喇叭1.4寸音圈吊式音箱；高频单元:2*3寸；额定功率：100W（RMS）峰值功率：200W；频率响应：45—18KHZ</w:t>
            </w:r>
            <w:r>
              <w:rPr>
                <w:rFonts w:hint="eastAsia" w:eastAsia="宋体"/>
                <w:color w:val="333333"/>
                <w:sz w:val="21"/>
                <w:szCs w:val="21"/>
              </w:rPr>
              <w:t>；</w:t>
            </w:r>
            <w:r>
              <w:rPr>
                <w:rFonts w:hint="eastAsia" w:eastAsia="宋体"/>
                <w:color w:val="000000"/>
                <w:sz w:val="21"/>
                <w:szCs w:val="21"/>
              </w:rPr>
              <w:t>分频点：3500HZ；额定阻抗：8Ω；灵敏度：90dB；最大声压级：109dB</w:t>
            </w:r>
            <w:r>
              <w:rPr>
                <w:rFonts w:hint="eastAsia" w:eastAsia="宋体"/>
                <w:color w:val="333333"/>
                <w:sz w:val="21"/>
                <w:szCs w:val="21"/>
              </w:rPr>
              <w:t>；</w:t>
            </w:r>
            <w:r>
              <w:rPr>
                <w:rFonts w:hint="eastAsia" w:eastAsia="宋体"/>
                <w:color w:val="000000"/>
                <w:sz w:val="21"/>
                <w:szCs w:val="21"/>
              </w:rPr>
              <w:t>覆盖范围：90゜x90゜；外壳：MDF中纤板&amp;PVC装饰</w:t>
            </w:r>
            <w:r>
              <w:rPr>
                <w:rFonts w:hint="eastAsia" w:eastAsia="宋体"/>
                <w:color w:val="333333"/>
                <w:sz w:val="21"/>
                <w:szCs w:val="21"/>
              </w:rPr>
              <w:t>；</w:t>
            </w:r>
            <w:r>
              <w:rPr>
                <w:rFonts w:hint="eastAsia" w:eastAsia="宋体"/>
                <w:color w:val="000000"/>
                <w:sz w:val="21"/>
                <w:szCs w:val="21"/>
              </w:rPr>
              <w:t>表面处理：黑色耐磨聚脂亮光点漆；外形尺寸:46*27* 27CM重量:7.5KG</w:t>
            </w:r>
          </w:p>
          <w:p w14:paraId="7360774A">
            <w:pPr>
              <w:rPr>
                <w:rFonts w:ascii="宋体" w:hAnsi="宋体" w:eastAsia="宋体" w:cs="宋体"/>
                <w:color w:val="000000"/>
                <w:kern w:val="0"/>
                <w:szCs w:val="21"/>
              </w:rPr>
            </w:pPr>
            <w:r>
              <w:rPr>
                <w:rFonts w:hint="eastAsia" w:ascii="宋体" w:hAnsi="宋体" w:eastAsia="宋体" w:cs="宋体"/>
                <w:color w:val="000000"/>
                <w:szCs w:val="21"/>
              </w:rPr>
              <w:t>会议话筒和领夹话筒各一支</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4013CAA8">
            <w:pPr>
              <w:jc w:val="center"/>
              <w:rPr>
                <w:rFonts w:ascii="宋体" w:hAnsi="宋体" w:eastAsia="宋体" w:cs="宋体"/>
                <w:color w:val="000000"/>
                <w:kern w:val="0"/>
                <w:szCs w:val="21"/>
              </w:rPr>
            </w:pPr>
            <w:r>
              <w:rPr>
                <w:rFonts w:hint="eastAsia" w:ascii="宋体" w:hAnsi="宋体" w:eastAsia="宋体" w:cs="宋体"/>
                <w:szCs w:val="21"/>
              </w:rPr>
              <w:t>0.36</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4B30A60B">
            <w:pPr>
              <w:jc w:val="center"/>
              <w:rPr>
                <w:rFonts w:ascii="宋体" w:hAnsi="宋体" w:eastAsia="宋体" w:cs="宋体"/>
                <w:color w:val="000000"/>
                <w:kern w:val="0"/>
                <w:szCs w:val="21"/>
              </w:rPr>
            </w:pPr>
            <w:r>
              <w:rPr>
                <w:rFonts w:hint="eastAsia" w:ascii="宋体" w:hAnsi="宋体" w:eastAsia="宋体" w:cs="宋体"/>
                <w:szCs w:val="21"/>
              </w:rPr>
              <w:t>1套</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759B94A0">
            <w:pPr>
              <w:jc w:val="center"/>
              <w:rPr>
                <w:rFonts w:ascii="宋体" w:hAnsi="宋体" w:eastAsia="宋体" w:cs="宋体"/>
                <w:color w:val="000000"/>
                <w:kern w:val="0"/>
                <w:szCs w:val="21"/>
              </w:rPr>
            </w:pPr>
            <w:r>
              <w:rPr>
                <w:rFonts w:hint="eastAsia" w:ascii="宋体" w:hAnsi="宋体" w:eastAsia="宋体" w:cs="宋体"/>
                <w:color w:val="000000"/>
                <w:kern w:val="0"/>
                <w:szCs w:val="21"/>
              </w:rPr>
              <w:t>0.36</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75BC0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865C6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249252FC">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D9546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3E55771B">
            <w:pPr>
              <w:jc w:val="center"/>
              <w:rPr>
                <w:rFonts w:ascii="宋体" w:hAnsi="宋体" w:eastAsia="宋体" w:cs="宋体"/>
                <w:color w:val="000000"/>
                <w:kern w:val="0"/>
                <w:szCs w:val="21"/>
              </w:rPr>
            </w:pPr>
            <w:r>
              <w:rPr>
                <w:rFonts w:hint="eastAsia" w:ascii="宋体" w:hAnsi="宋体" w:eastAsia="宋体" w:cs="宋体"/>
                <w:szCs w:val="21"/>
              </w:rPr>
              <w:t>无线话筒</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10CA9B7C">
            <w:pPr>
              <w:rPr>
                <w:rFonts w:ascii="宋体" w:hAnsi="宋体" w:eastAsia="宋体" w:cs="宋体"/>
                <w:color w:val="000000"/>
                <w:kern w:val="0"/>
                <w:szCs w:val="21"/>
              </w:rPr>
            </w:pPr>
            <w:r>
              <w:rPr>
                <w:rFonts w:hint="eastAsia" w:ascii="宋体" w:hAnsi="宋体" w:eastAsia="宋体" w:cs="宋体"/>
                <w:color w:val="000000"/>
                <w:szCs w:val="21"/>
              </w:rPr>
              <w:t>便携式</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6910F806">
            <w:pPr>
              <w:jc w:val="center"/>
              <w:rPr>
                <w:rFonts w:ascii="宋体" w:hAnsi="宋体" w:eastAsia="宋体" w:cs="宋体"/>
                <w:color w:val="000000"/>
                <w:kern w:val="0"/>
                <w:szCs w:val="21"/>
              </w:rPr>
            </w:pPr>
            <w:r>
              <w:rPr>
                <w:rFonts w:hint="eastAsia" w:ascii="宋体" w:hAnsi="宋体" w:eastAsia="宋体" w:cs="宋体"/>
                <w:szCs w:val="21"/>
              </w:rPr>
              <w:t>0.04</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6334C2A5">
            <w:pPr>
              <w:jc w:val="center"/>
              <w:rPr>
                <w:rFonts w:ascii="宋体" w:hAnsi="宋体" w:eastAsia="宋体" w:cs="宋体"/>
                <w:color w:val="000000"/>
                <w:kern w:val="0"/>
                <w:szCs w:val="21"/>
              </w:rPr>
            </w:pPr>
            <w:r>
              <w:rPr>
                <w:rFonts w:hint="eastAsia" w:ascii="宋体" w:hAnsi="宋体" w:eastAsia="宋体" w:cs="宋体"/>
                <w:szCs w:val="21"/>
              </w:rPr>
              <w:t>2个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00F75025">
            <w:pPr>
              <w:jc w:val="center"/>
              <w:rPr>
                <w:rFonts w:ascii="宋体" w:hAnsi="宋体" w:eastAsia="宋体" w:cs="宋体"/>
                <w:color w:val="000000"/>
                <w:kern w:val="0"/>
                <w:szCs w:val="21"/>
              </w:rPr>
            </w:pPr>
            <w:r>
              <w:rPr>
                <w:rFonts w:hint="eastAsia" w:ascii="宋体" w:hAnsi="宋体" w:eastAsia="宋体" w:cs="宋体"/>
                <w:color w:val="000000"/>
                <w:kern w:val="0"/>
                <w:szCs w:val="21"/>
              </w:rPr>
              <w:t>0.08</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630B4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AC864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302DD2F6">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D9FE4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11</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044B412F">
            <w:pPr>
              <w:jc w:val="center"/>
              <w:rPr>
                <w:rFonts w:ascii="宋体" w:hAnsi="宋体" w:eastAsia="宋体" w:cs="宋体"/>
                <w:color w:val="000000"/>
                <w:kern w:val="0"/>
                <w:szCs w:val="21"/>
              </w:rPr>
            </w:pPr>
            <w:r>
              <w:rPr>
                <w:rFonts w:hint="eastAsia" w:ascii="宋体" w:hAnsi="宋体" w:eastAsia="宋体" w:cs="宋体"/>
                <w:szCs w:val="21"/>
              </w:rPr>
              <w:t>网线、电源线、接线板、投影转换器及现场布线</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0012CE8E">
            <w:pPr>
              <w:rPr>
                <w:rFonts w:ascii="宋体" w:hAnsi="宋体" w:eastAsia="宋体" w:cs="宋体"/>
                <w:color w:val="000000"/>
                <w:kern w:val="0"/>
                <w:szCs w:val="21"/>
              </w:rPr>
            </w:pPr>
            <w:r>
              <w:rPr>
                <w:rFonts w:hint="eastAsia" w:ascii="宋体" w:hAnsi="宋体" w:eastAsia="宋体" w:cs="宋体"/>
                <w:szCs w:val="21"/>
              </w:rPr>
              <w:t>每根至少10米，每张桌子配备网络与电源接盒，并配一个接线板，现场开槽布暗线</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64F27B41">
            <w:pPr>
              <w:jc w:val="center"/>
              <w:rPr>
                <w:rFonts w:ascii="宋体" w:hAnsi="宋体" w:eastAsia="宋体" w:cs="宋体"/>
                <w:color w:val="000000"/>
                <w:kern w:val="0"/>
                <w:szCs w:val="21"/>
              </w:rPr>
            </w:pPr>
            <w:r>
              <w:rPr>
                <w:rFonts w:hint="eastAsia" w:ascii="宋体" w:hAnsi="宋体" w:eastAsia="宋体" w:cs="宋体"/>
                <w:color w:val="000000"/>
                <w:kern w:val="0"/>
                <w:szCs w:val="21"/>
              </w:rPr>
              <w:t>0.7</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4F081625">
            <w:pPr>
              <w:jc w:val="center"/>
              <w:rPr>
                <w:rFonts w:ascii="宋体" w:hAnsi="宋体" w:eastAsia="宋体" w:cs="宋体"/>
                <w:color w:val="000000"/>
                <w:kern w:val="0"/>
                <w:szCs w:val="21"/>
              </w:rPr>
            </w:pPr>
            <w:r>
              <w:rPr>
                <w:rFonts w:hint="eastAsia" w:ascii="宋体" w:hAnsi="宋体" w:eastAsia="宋体" w:cs="宋体"/>
                <w:color w:val="000000"/>
                <w:kern w:val="0"/>
                <w:szCs w:val="21"/>
              </w:rPr>
              <w:t>1套</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20B677D0">
            <w:pPr>
              <w:jc w:val="center"/>
              <w:rPr>
                <w:rFonts w:ascii="宋体" w:hAnsi="宋体" w:eastAsia="宋体" w:cs="宋体"/>
                <w:color w:val="000000"/>
                <w:kern w:val="0"/>
                <w:szCs w:val="21"/>
              </w:rPr>
            </w:pPr>
            <w:r>
              <w:rPr>
                <w:rFonts w:hint="eastAsia" w:ascii="宋体" w:hAnsi="宋体" w:eastAsia="宋体" w:cs="宋体"/>
                <w:color w:val="000000"/>
                <w:kern w:val="0"/>
                <w:szCs w:val="21"/>
              </w:rPr>
              <w:t>0.7</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8A797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9727C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5DECBEF8">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87608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045DD62D">
            <w:pPr>
              <w:jc w:val="center"/>
              <w:rPr>
                <w:rFonts w:ascii="宋体" w:hAnsi="宋体" w:eastAsia="宋体" w:cs="宋体"/>
                <w:color w:val="000000"/>
                <w:kern w:val="0"/>
                <w:szCs w:val="21"/>
              </w:rPr>
            </w:pPr>
            <w:r>
              <w:rPr>
                <w:rFonts w:hint="eastAsia" w:ascii="宋体" w:hAnsi="宋体" w:eastAsia="宋体" w:cs="宋体"/>
                <w:szCs w:val="21"/>
              </w:rPr>
              <w:t>交换机</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36919DD5">
            <w:pPr>
              <w:rPr>
                <w:rFonts w:ascii="宋体" w:hAnsi="宋体" w:eastAsia="宋体" w:cs="宋体"/>
                <w:color w:val="000000"/>
                <w:kern w:val="0"/>
                <w:szCs w:val="21"/>
              </w:rPr>
            </w:pPr>
            <w:r>
              <w:rPr>
                <w:rFonts w:hint="eastAsia" w:ascii="宋体" w:hAnsi="宋体" w:eastAsia="宋体" w:cs="宋体"/>
                <w:szCs w:val="21"/>
              </w:rPr>
              <w:t>用于MYCO计算机联网，</w:t>
            </w:r>
            <w:r>
              <w:rPr>
                <w:rFonts w:hint="eastAsia" w:ascii="宋体" w:hAnsi="宋体" w:eastAsia="宋体" w:cs="宋体"/>
                <w:color w:val="000000"/>
                <w:szCs w:val="21"/>
              </w:rPr>
              <w:t>24口，</w:t>
            </w:r>
            <w:r>
              <w:rPr>
                <w:rFonts w:hint="eastAsia" w:ascii="宋体" w:hAnsi="宋体" w:eastAsia="宋体" w:cs="宋体"/>
                <w:color w:val="000000"/>
                <w:szCs w:val="21"/>
                <w:shd w:val="clear" w:color="auto" w:fill="FFFFFF"/>
              </w:rPr>
              <w:t>10/100/1000Mbps</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53F11421">
            <w:pPr>
              <w:jc w:val="center"/>
              <w:rPr>
                <w:rFonts w:ascii="宋体" w:hAnsi="宋体" w:eastAsia="宋体" w:cs="宋体"/>
                <w:color w:val="000000"/>
                <w:kern w:val="0"/>
                <w:szCs w:val="21"/>
              </w:rPr>
            </w:pPr>
            <w:r>
              <w:rPr>
                <w:rFonts w:hint="eastAsia" w:ascii="宋体" w:hAnsi="宋体" w:eastAsia="宋体" w:cs="宋体"/>
                <w:szCs w:val="21"/>
              </w:rPr>
              <w:t>0.1</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6B120319">
            <w:pPr>
              <w:jc w:val="center"/>
              <w:rPr>
                <w:rFonts w:ascii="宋体" w:hAnsi="宋体" w:eastAsia="宋体" w:cs="宋体"/>
                <w:color w:val="000000"/>
                <w:kern w:val="0"/>
                <w:szCs w:val="21"/>
              </w:rPr>
            </w:pPr>
            <w:r>
              <w:rPr>
                <w:rFonts w:hint="eastAsia" w:ascii="宋体" w:hAnsi="宋体" w:eastAsia="宋体" w:cs="宋体"/>
                <w:szCs w:val="21"/>
              </w:rPr>
              <w:t>2个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78BE3DA4">
            <w:pPr>
              <w:jc w:val="center"/>
              <w:rPr>
                <w:rFonts w:ascii="宋体" w:hAnsi="宋体" w:eastAsia="宋体" w:cs="宋体"/>
                <w:color w:val="000000"/>
                <w:kern w:val="0"/>
                <w:szCs w:val="21"/>
              </w:rPr>
            </w:pPr>
            <w:r>
              <w:rPr>
                <w:rFonts w:hint="eastAsia" w:ascii="宋体" w:hAnsi="宋体" w:eastAsia="宋体" w:cs="宋体"/>
                <w:color w:val="000000"/>
                <w:kern w:val="0"/>
                <w:szCs w:val="21"/>
              </w:rPr>
              <w:t>0.2</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2C620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C69E5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032E21A8">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847D0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13</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0B9EAD29">
            <w:pPr>
              <w:jc w:val="center"/>
              <w:rPr>
                <w:rFonts w:ascii="宋体" w:hAnsi="宋体" w:eastAsia="宋体" w:cs="宋体"/>
                <w:color w:val="000000"/>
                <w:kern w:val="0"/>
                <w:szCs w:val="21"/>
              </w:rPr>
            </w:pPr>
            <w:r>
              <w:rPr>
                <w:rFonts w:hint="eastAsia" w:ascii="宋体" w:hAnsi="宋体" w:eastAsia="宋体" w:cs="宋体"/>
                <w:szCs w:val="21"/>
              </w:rPr>
              <w:t>形象墙</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23C7A520">
            <w:pPr>
              <w:rPr>
                <w:rFonts w:ascii="宋体" w:hAnsi="宋体" w:eastAsia="宋体" w:cs="宋体"/>
                <w:color w:val="000000"/>
                <w:kern w:val="0"/>
                <w:szCs w:val="21"/>
              </w:rPr>
            </w:pPr>
            <w:r>
              <w:rPr>
                <w:rFonts w:hint="eastAsia" w:ascii="宋体" w:hAnsi="宋体" w:eastAsia="宋体" w:cs="宋体"/>
                <w:szCs w:val="21"/>
              </w:rPr>
              <w:t>如图3所示，室内渲染实验室文化</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3FE6C3B7">
            <w:pPr>
              <w:jc w:val="center"/>
              <w:rPr>
                <w:rFonts w:ascii="宋体" w:hAnsi="宋体" w:eastAsia="宋体" w:cs="宋体"/>
                <w:color w:val="000000"/>
                <w:kern w:val="0"/>
                <w:szCs w:val="21"/>
              </w:rPr>
            </w:pPr>
            <w:r>
              <w:rPr>
                <w:rFonts w:hint="eastAsia" w:ascii="宋体" w:hAnsi="宋体" w:eastAsia="宋体" w:cs="宋体"/>
                <w:szCs w:val="21"/>
              </w:rPr>
              <w:t>1.5</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78C4CFBC">
            <w:pPr>
              <w:jc w:val="center"/>
              <w:rPr>
                <w:rFonts w:ascii="宋体" w:hAnsi="宋体" w:eastAsia="宋体" w:cs="宋体"/>
                <w:color w:val="000000"/>
                <w:kern w:val="0"/>
                <w:szCs w:val="21"/>
              </w:rPr>
            </w:pPr>
            <w:r>
              <w:rPr>
                <w:rFonts w:hint="eastAsia" w:ascii="宋体" w:hAnsi="宋体" w:eastAsia="宋体" w:cs="宋体"/>
                <w:szCs w:val="21"/>
              </w:rPr>
              <w:t>2面</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5B44CF4C">
            <w:pPr>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132A6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8BB2D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567D65F4">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647A3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425FDF84">
            <w:pPr>
              <w:jc w:val="center"/>
              <w:rPr>
                <w:rFonts w:ascii="宋体" w:hAnsi="宋体" w:eastAsia="宋体" w:cs="宋体"/>
                <w:color w:val="000000"/>
                <w:kern w:val="0"/>
                <w:szCs w:val="21"/>
              </w:rPr>
            </w:pPr>
            <w:r>
              <w:rPr>
                <w:rFonts w:hint="eastAsia" w:ascii="宋体" w:hAnsi="宋体" w:eastAsia="宋体" w:cs="宋体"/>
                <w:szCs w:val="21"/>
                <w:lang w:val="es-ES"/>
              </w:rPr>
              <w:t>柜式空调</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7C9CAAFF">
            <w:pPr>
              <w:rPr>
                <w:rFonts w:ascii="宋体" w:hAnsi="宋体" w:eastAsia="宋体" w:cs="宋体"/>
                <w:color w:val="000000"/>
                <w:kern w:val="0"/>
                <w:szCs w:val="21"/>
              </w:rPr>
            </w:pPr>
            <w:r>
              <w:rPr>
                <w:rFonts w:hint="eastAsia" w:ascii="宋体" w:hAnsi="宋体" w:eastAsia="宋体" w:cs="宋体"/>
                <w:color w:val="000000"/>
                <w:szCs w:val="21"/>
              </w:rPr>
              <w:t>格力</w:t>
            </w:r>
            <w:r>
              <w:rPr>
                <w:rFonts w:hint="eastAsia" w:ascii="宋体" w:hAnsi="宋体" w:eastAsia="宋体" w:cs="宋体"/>
                <w:color w:val="000000"/>
                <w:szCs w:val="21"/>
                <w:lang w:val="es-ES"/>
              </w:rPr>
              <w:t>KFR-120LW/E(12568L)A1-N2</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200355E3">
            <w:pPr>
              <w:jc w:val="center"/>
              <w:rPr>
                <w:rFonts w:ascii="宋体" w:hAnsi="宋体" w:eastAsia="宋体" w:cs="宋体"/>
                <w:color w:val="000000"/>
                <w:kern w:val="0"/>
                <w:szCs w:val="21"/>
              </w:rPr>
            </w:pPr>
            <w:r>
              <w:rPr>
                <w:rFonts w:hint="eastAsia" w:ascii="宋体" w:hAnsi="宋体" w:eastAsia="宋体" w:cs="宋体"/>
                <w:color w:val="000000"/>
                <w:kern w:val="0"/>
                <w:szCs w:val="21"/>
              </w:rPr>
              <w:t>1.02</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443C734C">
            <w:pPr>
              <w:jc w:val="center"/>
              <w:rPr>
                <w:rFonts w:ascii="宋体" w:hAnsi="宋体" w:eastAsia="宋体" w:cs="宋体"/>
                <w:color w:val="000000"/>
                <w:kern w:val="0"/>
                <w:szCs w:val="21"/>
              </w:rPr>
            </w:pPr>
            <w:r>
              <w:rPr>
                <w:rFonts w:hint="eastAsia" w:ascii="宋体" w:hAnsi="宋体" w:eastAsia="宋体" w:cs="宋体"/>
                <w:szCs w:val="21"/>
                <w:lang w:val="es-ES"/>
              </w:rPr>
              <w:t>2台</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32A16FF5">
            <w:pPr>
              <w:jc w:val="center"/>
              <w:rPr>
                <w:rFonts w:ascii="宋体" w:hAnsi="宋体" w:eastAsia="宋体" w:cs="宋体"/>
                <w:color w:val="000000"/>
                <w:kern w:val="0"/>
                <w:szCs w:val="21"/>
              </w:rPr>
            </w:pPr>
            <w:r>
              <w:rPr>
                <w:rFonts w:hint="eastAsia" w:ascii="宋体" w:hAnsi="宋体" w:eastAsia="宋体" w:cs="宋体"/>
                <w:color w:val="000000"/>
                <w:kern w:val="0"/>
                <w:szCs w:val="21"/>
              </w:rPr>
              <w:t>2.04</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8687E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1AE58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5DD1B7BE">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F449D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15</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3BD49724">
            <w:pPr>
              <w:jc w:val="center"/>
              <w:rPr>
                <w:rFonts w:ascii="宋体" w:hAnsi="宋体" w:eastAsia="宋体" w:cs="宋体"/>
                <w:color w:val="000000"/>
                <w:kern w:val="0"/>
                <w:szCs w:val="21"/>
              </w:rPr>
            </w:pPr>
            <w:r>
              <w:rPr>
                <w:rFonts w:hint="eastAsia" w:ascii="宋体" w:hAnsi="宋体" w:eastAsia="宋体" w:cs="宋体"/>
                <w:szCs w:val="21"/>
              </w:rPr>
              <w:t>陈列柜</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02C4F7E3">
            <w:pPr>
              <w:rPr>
                <w:rFonts w:ascii="宋体" w:hAnsi="宋体" w:eastAsia="宋体" w:cs="宋体"/>
                <w:color w:val="000000"/>
                <w:kern w:val="0"/>
                <w:szCs w:val="21"/>
              </w:rPr>
            </w:pPr>
            <w:r>
              <w:rPr>
                <w:rFonts w:hint="eastAsia" w:ascii="宋体" w:hAnsi="宋体" w:eastAsia="宋体" w:cs="宋体"/>
                <w:szCs w:val="21"/>
              </w:rPr>
              <w:t>高180CM×宽120CM×厚50CM，灰色优质三聚氰胺板、近色直封边的多层资料柜，用户存放虚拟仿真智慧模拟实训资料及实训手册，下层存放教具</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57E85A74">
            <w:pPr>
              <w:jc w:val="center"/>
              <w:rPr>
                <w:rFonts w:ascii="宋体" w:hAnsi="宋体" w:eastAsia="宋体" w:cs="宋体"/>
                <w:color w:val="000000"/>
                <w:kern w:val="0"/>
                <w:szCs w:val="21"/>
              </w:rPr>
            </w:pPr>
            <w:r>
              <w:rPr>
                <w:rFonts w:hint="eastAsia" w:ascii="宋体" w:hAnsi="宋体" w:eastAsia="宋体" w:cs="宋体"/>
                <w:szCs w:val="21"/>
              </w:rPr>
              <w:t>0.1</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0A7CD955">
            <w:pPr>
              <w:jc w:val="center"/>
              <w:rPr>
                <w:rFonts w:ascii="宋体" w:hAnsi="宋体" w:eastAsia="宋体" w:cs="宋体"/>
                <w:color w:val="000000"/>
                <w:kern w:val="0"/>
                <w:szCs w:val="21"/>
              </w:rPr>
            </w:pPr>
            <w:r>
              <w:rPr>
                <w:rFonts w:hint="eastAsia" w:ascii="宋体" w:hAnsi="宋体" w:eastAsia="宋体" w:cs="宋体"/>
                <w:szCs w:val="21"/>
              </w:rPr>
              <w:t>4个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3733544F">
            <w:pPr>
              <w:jc w:val="center"/>
              <w:rPr>
                <w:rFonts w:ascii="宋体" w:hAnsi="宋体" w:eastAsia="宋体" w:cs="宋体"/>
                <w:color w:val="000000"/>
                <w:kern w:val="0"/>
                <w:szCs w:val="21"/>
              </w:rPr>
            </w:pPr>
            <w:r>
              <w:rPr>
                <w:rFonts w:hint="eastAsia" w:ascii="宋体" w:hAnsi="宋体" w:eastAsia="宋体" w:cs="宋体"/>
                <w:color w:val="000000"/>
                <w:kern w:val="0"/>
                <w:szCs w:val="21"/>
              </w:rPr>
              <w:t>0.4</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F5A76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4B0B8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62DF7B8E">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E024D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16</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563496E4">
            <w:pPr>
              <w:jc w:val="center"/>
              <w:rPr>
                <w:rFonts w:ascii="宋体" w:hAnsi="宋体" w:eastAsia="宋体" w:cs="宋体"/>
                <w:color w:val="000000"/>
                <w:kern w:val="0"/>
                <w:szCs w:val="21"/>
              </w:rPr>
            </w:pPr>
            <w:r>
              <w:rPr>
                <w:rFonts w:hint="eastAsia" w:ascii="宋体" w:hAnsi="宋体" w:eastAsia="宋体" w:cs="宋体"/>
                <w:szCs w:val="21"/>
              </w:rPr>
              <w:t>地面</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6338B8EB">
            <w:pPr>
              <w:rPr>
                <w:rFonts w:ascii="宋体" w:hAnsi="宋体" w:eastAsia="宋体" w:cs="宋体"/>
                <w:color w:val="000000"/>
                <w:kern w:val="0"/>
                <w:szCs w:val="21"/>
              </w:rPr>
            </w:pPr>
            <w:r>
              <w:rPr>
                <w:rFonts w:hint="eastAsia" w:ascii="宋体" w:hAnsi="宋体" w:eastAsia="宋体" w:cs="宋体"/>
                <w:szCs w:val="21"/>
              </w:rPr>
              <w:t>淡蓝色环氧树脂地平漆或PVC加厚耐磨环保石塑地砖</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5F3EA53A">
            <w:pPr>
              <w:jc w:val="center"/>
              <w:rPr>
                <w:rFonts w:ascii="宋体" w:hAnsi="宋体" w:eastAsia="宋体" w:cs="宋体"/>
                <w:color w:val="000000"/>
                <w:kern w:val="0"/>
                <w:szCs w:val="21"/>
              </w:rPr>
            </w:pPr>
            <w:r>
              <w:rPr>
                <w:rFonts w:hint="eastAsia" w:ascii="宋体" w:hAnsi="宋体" w:eastAsia="宋体" w:cs="宋体"/>
                <w:color w:val="000000"/>
                <w:kern w:val="0"/>
                <w:szCs w:val="21"/>
              </w:rPr>
              <w:t>0.02</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3B54FE93">
            <w:pPr>
              <w:jc w:val="center"/>
              <w:rPr>
                <w:rFonts w:ascii="宋体" w:hAnsi="宋体" w:eastAsia="宋体" w:cs="宋体"/>
                <w:color w:val="000000"/>
                <w:kern w:val="0"/>
                <w:szCs w:val="21"/>
              </w:rPr>
            </w:pPr>
            <w:r>
              <w:rPr>
                <w:rFonts w:hint="eastAsia" w:ascii="宋体" w:hAnsi="宋体" w:eastAsia="宋体" w:cs="宋体"/>
                <w:szCs w:val="21"/>
              </w:rPr>
              <w:t>132平</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064A125D">
            <w:pPr>
              <w:jc w:val="center"/>
              <w:rPr>
                <w:rFonts w:ascii="宋体" w:hAnsi="宋体" w:eastAsia="宋体" w:cs="宋体"/>
                <w:color w:val="000000"/>
                <w:kern w:val="0"/>
                <w:szCs w:val="21"/>
              </w:rPr>
            </w:pPr>
            <w:r>
              <w:rPr>
                <w:rFonts w:hint="eastAsia" w:ascii="宋体" w:hAnsi="宋体" w:eastAsia="宋体" w:cs="宋体"/>
                <w:color w:val="000000"/>
                <w:kern w:val="0"/>
                <w:szCs w:val="21"/>
              </w:rPr>
              <w:t>2.64</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F509B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EBC9E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7DC90FEC">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F6501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17</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01D4BCEF">
            <w:pPr>
              <w:jc w:val="center"/>
              <w:rPr>
                <w:rFonts w:ascii="宋体" w:hAnsi="宋体" w:eastAsia="宋体" w:cs="宋体"/>
                <w:color w:val="000000"/>
                <w:kern w:val="0"/>
                <w:szCs w:val="21"/>
              </w:rPr>
            </w:pPr>
            <w:r>
              <w:rPr>
                <w:rFonts w:hint="eastAsia" w:ascii="宋体" w:hAnsi="宋体" w:eastAsia="宋体" w:cs="宋体"/>
                <w:szCs w:val="21"/>
              </w:rPr>
              <w:t>吊顶</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5FCF4EE1">
            <w:pPr>
              <w:rPr>
                <w:rFonts w:ascii="宋体" w:hAnsi="宋体" w:eastAsia="宋体" w:cs="宋体"/>
                <w:color w:val="000000"/>
                <w:kern w:val="0"/>
                <w:szCs w:val="21"/>
              </w:rPr>
            </w:pPr>
            <w:r>
              <w:rPr>
                <w:rFonts w:hint="eastAsia" w:ascii="宋体" w:hAnsi="宋体" w:eastAsia="宋体" w:cs="宋体"/>
                <w:szCs w:val="21"/>
              </w:rPr>
              <w:t>如图3所示，全部集成暗灯吊顶</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49F75C68">
            <w:pPr>
              <w:jc w:val="center"/>
              <w:rPr>
                <w:rFonts w:ascii="宋体" w:hAnsi="宋体" w:eastAsia="宋体" w:cs="宋体"/>
                <w:color w:val="000000"/>
                <w:kern w:val="0"/>
                <w:szCs w:val="21"/>
              </w:rPr>
            </w:pPr>
            <w:r>
              <w:rPr>
                <w:rFonts w:hint="eastAsia" w:ascii="宋体" w:hAnsi="宋体" w:eastAsia="宋体" w:cs="宋体"/>
                <w:color w:val="000000"/>
                <w:kern w:val="0"/>
                <w:szCs w:val="21"/>
              </w:rPr>
              <w:t>0.018</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722A5FAF">
            <w:pPr>
              <w:jc w:val="center"/>
              <w:rPr>
                <w:rFonts w:ascii="宋体" w:hAnsi="宋体" w:eastAsia="宋体" w:cs="宋体"/>
                <w:color w:val="000000"/>
                <w:kern w:val="0"/>
                <w:szCs w:val="21"/>
              </w:rPr>
            </w:pPr>
            <w:r>
              <w:rPr>
                <w:rFonts w:hint="eastAsia" w:ascii="宋体" w:hAnsi="宋体" w:eastAsia="宋体" w:cs="宋体"/>
                <w:szCs w:val="21"/>
              </w:rPr>
              <w:t>132平</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27B8EF72">
            <w:pPr>
              <w:jc w:val="center"/>
              <w:rPr>
                <w:rFonts w:ascii="宋体" w:hAnsi="宋体" w:eastAsia="宋体" w:cs="宋体"/>
                <w:color w:val="000000"/>
                <w:kern w:val="0"/>
                <w:szCs w:val="21"/>
              </w:rPr>
            </w:pPr>
            <w:r>
              <w:rPr>
                <w:rFonts w:hint="eastAsia" w:ascii="宋体" w:hAnsi="宋体" w:eastAsia="宋体" w:cs="宋体"/>
                <w:color w:val="000000"/>
                <w:kern w:val="0"/>
                <w:szCs w:val="21"/>
              </w:rPr>
              <w:t>2.376</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7CEE8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DB38B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20CED7BD">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AA6F0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w:t>
            </w: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70DE155B">
            <w:pPr>
              <w:jc w:val="center"/>
              <w:rPr>
                <w:rFonts w:ascii="宋体" w:hAnsi="宋体" w:eastAsia="宋体" w:cs="宋体"/>
                <w:color w:val="000000"/>
                <w:kern w:val="0"/>
                <w:szCs w:val="21"/>
              </w:rPr>
            </w:pPr>
            <w:r>
              <w:rPr>
                <w:rFonts w:hint="eastAsia" w:ascii="宋体" w:hAnsi="宋体" w:eastAsia="宋体" w:cs="宋体"/>
                <w:szCs w:val="21"/>
              </w:rPr>
              <w:t>绿色盆栽植物</w:t>
            </w: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19F88F5E">
            <w:pPr>
              <w:rPr>
                <w:rFonts w:ascii="宋体" w:hAnsi="宋体" w:eastAsia="宋体" w:cs="宋体"/>
                <w:color w:val="000000"/>
                <w:kern w:val="0"/>
                <w:szCs w:val="21"/>
              </w:rPr>
            </w:pPr>
            <w:r>
              <w:rPr>
                <w:rFonts w:hint="eastAsia" w:ascii="宋体" w:hAnsi="宋体" w:eastAsia="宋体" w:cs="宋体"/>
                <w:szCs w:val="21"/>
              </w:rPr>
              <w:t>绿叶盆栽植物，盆径大于25CM。放在每张桌子上，装饰用</w:t>
            </w: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32A2AD43">
            <w:pPr>
              <w:jc w:val="center"/>
              <w:rPr>
                <w:rFonts w:ascii="宋体" w:hAnsi="宋体" w:eastAsia="宋体" w:cs="宋体"/>
                <w:color w:val="000000"/>
                <w:kern w:val="0"/>
                <w:szCs w:val="21"/>
              </w:rPr>
            </w:pPr>
            <w:r>
              <w:rPr>
                <w:rFonts w:hint="eastAsia" w:ascii="宋体" w:hAnsi="宋体" w:eastAsia="宋体" w:cs="宋体"/>
                <w:szCs w:val="21"/>
              </w:rPr>
              <w:t>0.004</w:t>
            </w: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782D311C">
            <w:pPr>
              <w:jc w:val="center"/>
              <w:rPr>
                <w:rFonts w:ascii="宋体" w:hAnsi="宋体" w:eastAsia="宋体" w:cs="宋体"/>
                <w:color w:val="000000"/>
                <w:kern w:val="0"/>
                <w:szCs w:val="21"/>
              </w:rPr>
            </w:pPr>
            <w:r>
              <w:rPr>
                <w:rFonts w:hint="eastAsia" w:ascii="宋体" w:hAnsi="宋体" w:eastAsia="宋体" w:cs="宋体"/>
                <w:szCs w:val="21"/>
              </w:rPr>
              <w:t>10个</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099FC9DE">
            <w:pPr>
              <w:jc w:val="center"/>
              <w:rPr>
                <w:rFonts w:ascii="宋体" w:hAnsi="宋体" w:eastAsia="宋体" w:cs="宋体"/>
                <w:color w:val="000000"/>
                <w:kern w:val="0"/>
                <w:szCs w:val="21"/>
              </w:rPr>
            </w:pPr>
            <w:r>
              <w:rPr>
                <w:rFonts w:hint="eastAsia" w:ascii="宋体" w:hAnsi="宋体" w:eastAsia="宋体" w:cs="宋体"/>
                <w:color w:val="000000"/>
                <w:kern w:val="0"/>
                <w:szCs w:val="21"/>
              </w:rPr>
              <w:t>0.04</w:t>
            </w: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6E525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highlight w:val="yellow"/>
              </w:rPr>
              <w:t>现有机房</w:t>
            </w:r>
          </w:p>
        </w:tc>
        <w:tc>
          <w:tcPr>
            <w:tcW w:w="1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AA1FE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w:t>
            </w:r>
          </w:p>
        </w:tc>
      </w:tr>
      <w:tr w14:paraId="33FC949C">
        <w:tblPrEx>
          <w:tblCellMar>
            <w:top w:w="0" w:type="dxa"/>
            <w:left w:w="108" w:type="dxa"/>
            <w:bottom w:w="0" w:type="dxa"/>
            <w:right w:w="108" w:type="dxa"/>
          </w:tblCellMar>
        </w:tblPrEx>
        <w:trPr>
          <w:trHeight w:val="480" w:hRule="atLeast"/>
        </w:trPr>
        <w:tc>
          <w:tcPr>
            <w:tcW w:w="443" w:type="dxa"/>
            <w:tcBorders>
              <w:top w:val="single" w:color="auto" w:sz="4" w:space="0"/>
              <w:left w:val="single" w:color="auto" w:sz="4" w:space="0"/>
              <w:bottom w:val="single" w:color="auto" w:sz="4" w:space="0"/>
              <w:right w:val="single" w:color="auto" w:sz="4" w:space="0"/>
            </w:tcBorders>
            <w:shd w:val="clear" w:color="auto" w:fill="auto"/>
            <w:noWrap/>
          </w:tcPr>
          <w:p w14:paraId="7622A506">
            <w:pPr>
              <w:jc w:val="center"/>
              <w:rPr>
                <w:rFonts w:ascii="宋体" w:hAnsi="宋体" w:cs="宋体"/>
                <w:color w:val="000000"/>
                <w:kern w:val="0"/>
                <w:szCs w:val="21"/>
              </w:rPr>
            </w:pPr>
          </w:p>
        </w:tc>
        <w:tc>
          <w:tcPr>
            <w:tcW w:w="2025" w:type="dxa"/>
            <w:tcBorders>
              <w:top w:val="single" w:color="auto" w:sz="4" w:space="0"/>
              <w:left w:val="single" w:color="auto" w:sz="4" w:space="0"/>
              <w:bottom w:val="single" w:color="auto" w:sz="4" w:space="0"/>
              <w:right w:val="single" w:color="auto" w:sz="4" w:space="0"/>
            </w:tcBorders>
            <w:shd w:val="clear" w:color="auto" w:fill="auto"/>
            <w:noWrap/>
          </w:tcPr>
          <w:p w14:paraId="69FC6090">
            <w:pPr>
              <w:jc w:val="center"/>
              <w:rPr>
                <w:rFonts w:ascii="宋体" w:hAnsi="宋体" w:cs="宋体"/>
                <w:color w:val="000000"/>
                <w:kern w:val="0"/>
                <w:szCs w:val="21"/>
              </w:rPr>
            </w:pPr>
          </w:p>
        </w:tc>
        <w:tc>
          <w:tcPr>
            <w:tcW w:w="6030" w:type="dxa"/>
            <w:tcBorders>
              <w:top w:val="single" w:color="auto" w:sz="4" w:space="0"/>
              <w:left w:val="single" w:color="auto" w:sz="4" w:space="0"/>
              <w:bottom w:val="single" w:color="auto" w:sz="4" w:space="0"/>
              <w:right w:val="single" w:color="auto" w:sz="4" w:space="0"/>
            </w:tcBorders>
            <w:shd w:val="clear" w:color="auto" w:fill="auto"/>
            <w:noWrap/>
          </w:tcPr>
          <w:p w14:paraId="10425518">
            <w:pPr>
              <w:jc w:val="center"/>
              <w:rPr>
                <w:rFonts w:ascii="宋体" w:hAnsi="宋体" w:cs="宋体"/>
                <w:color w:val="000000"/>
                <w:kern w:val="0"/>
                <w:szCs w:val="21"/>
              </w:rPr>
            </w:pPr>
          </w:p>
        </w:tc>
        <w:tc>
          <w:tcPr>
            <w:tcW w:w="885" w:type="dxa"/>
            <w:tcBorders>
              <w:top w:val="single" w:color="auto" w:sz="4" w:space="0"/>
              <w:left w:val="single" w:color="auto" w:sz="4" w:space="0"/>
              <w:bottom w:val="single" w:color="auto" w:sz="4" w:space="0"/>
              <w:right w:val="single" w:color="auto" w:sz="4" w:space="0"/>
            </w:tcBorders>
            <w:shd w:val="clear" w:color="auto" w:fill="auto"/>
            <w:noWrap/>
          </w:tcPr>
          <w:p w14:paraId="235BC172">
            <w:pPr>
              <w:jc w:val="center"/>
              <w:rPr>
                <w:rFonts w:ascii="宋体" w:hAnsi="宋体" w:cs="宋体"/>
                <w:color w:val="000000"/>
                <w:kern w:val="0"/>
                <w:szCs w:val="21"/>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tcPr>
          <w:p w14:paraId="24154631">
            <w:pPr>
              <w:jc w:val="center"/>
              <w:rPr>
                <w:rFonts w:ascii="宋体" w:hAnsi="宋体" w:cs="宋体"/>
                <w:color w:val="000000"/>
                <w:kern w:val="0"/>
                <w:szCs w:val="21"/>
              </w:rPr>
            </w:pPr>
            <w:r>
              <w:rPr>
                <w:rFonts w:hint="eastAsia" w:ascii="宋体" w:hAnsi="宋体" w:cs="宋体"/>
                <w:color w:val="000000"/>
                <w:kern w:val="0"/>
                <w:szCs w:val="21"/>
              </w:rPr>
              <w:t>合计</w:t>
            </w:r>
          </w:p>
        </w:tc>
        <w:tc>
          <w:tcPr>
            <w:tcW w:w="1110" w:type="dxa"/>
            <w:tcBorders>
              <w:top w:val="single" w:color="auto" w:sz="4" w:space="0"/>
              <w:left w:val="single" w:color="auto" w:sz="4" w:space="0"/>
              <w:bottom w:val="single" w:color="auto" w:sz="4" w:space="0"/>
              <w:right w:val="single" w:color="auto" w:sz="4" w:space="0"/>
            </w:tcBorders>
            <w:shd w:val="clear" w:color="auto" w:fill="auto"/>
            <w:noWrap/>
          </w:tcPr>
          <w:p w14:paraId="006C7FDE">
            <w:pPr>
              <w:jc w:val="center"/>
              <w:rPr>
                <w:rFonts w:ascii="宋体" w:hAnsi="宋体" w:cs="宋体"/>
                <w:color w:val="000000"/>
                <w:kern w:val="0"/>
                <w:szCs w:val="21"/>
              </w:rPr>
            </w:pPr>
            <w:r>
              <w:rPr>
                <w:rFonts w:hint="eastAsia" w:ascii="宋体" w:hAnsi="宋体" w:cs="宋体"/>
                <w:color w:val="000000"/>
                <w:kern w:val="0"/>
                <w:szCs w:val="21"/>
              </w:rPr>
              <w:t>85.586</w:t>
            </w:r>
          </w:p>
        </w:tc>
        <w:tc>
          <w:tcPr>
            <w:tcW w:w="1290" w:type="dxa"/>
            <w:tcBorders>
              <w:top w:val="single" w:color="auto" w:sz="4" w:space="0"/>
              <w:left w:val="single" w:color="auto" w:sz="4" w:space="0"/>
              <w:bottom w:val="single" w:color="auto" w:sz="4" w:space="0"/>
              <w:right w:val="single" w:color="auto" w:sz="4" w:space="0"/>
            </w:tcBorders>
            <w:shd w:val="clear" w:color="auto" w:fill="auto"/>
            <w:noWrap/>
          </w:tcPr>
          <w:p w14:paraId="0CF033CA">
            <w:pPr>
              <w:jc w:val="center"/>
              <w:rPr>
                <w:rFonts w:ascii="宋体" w:hAnsi="宋体" w:cs="宋体"/>
                <w:color w:val="000000"/>
                <w:kern w:val="0"/>
                <w:szCs w:val="21"/>
              </w:rPr>
            </w:pPr>
          </w:p>
        </w:tc>
        <w:tc>
          <w:tcPr>
            <w:tcW w:w="1567" w:type="dxa"/>
            <w:tcBorders>
              <w:top w:val="single" w:color="auto" w:sz="4" w:space="0"/>
              <w:left w:val="single" w:color="auto" w:sz="4" w:space="0"/>
              <w:bottom w:val="single" w:color="auto" w:sz="4" w:space="0"/>
              <w:right w:val="single" w:color="auto" w:sz="4" w:space="0"/>
            </w:tcBorders>
            <w:shd w:val="clear" w:color="auto" w:fill="auto"/>
            <w:noWrap/>
          </w:tcPr>
          <w:p w14:paraId="1314E7F4">
            <w:pPr>
              <w:jc w:val="center"/>
              <w:rPr>
                <w:rFonts w:ascii="宋体" w:hAnsi="宋体" w:cs="宋体"/>
                <w:color w:val="000000"/>
                <w:kern w:val="0"/>
                <w:szCs w:val="21"/>
              </w:rPr>
            </w:pPr>
          </w:p>
        </w:tc>
      </w:tr>
    </w:tbl>
    <w:p w14:paraId="1EBCE71D">
      <w:pPr>
        <w:rPr>
          <w:rFonts w:ascii="宋体" w:hAnsi="宋体"/>
          <w:sz w:val="20"/>
          <w:szCs w:val="20"/>
        </w:rPr>
        <w:sectPr>
          <w:pgSz w:w="16838" w:h="11906" w:orient="landscape"/>
          <w:pgMar w:top="1361" w:right="1247" w:bottom="1474" w:left="1474" w:header="743" w:footer="1021" w:gutter="0"/>
          <w:cols w:space="425" w:num="1"/>
          <w:docGrid w:linePitch="312" w:charSpace="0"/>
        </w:sectPr>
      </w:pPr>
    </w:p>
    <w:p w14:paraId="67067D9F">
      <w:pPr>
        <w:pStyle w:val="11"/>
        <w:jc w:val="both"/>
        <w:rPr>
          <w:sz w:val="20"/>
          <w:szCs w:val="20"/>
        </w:rPr>
      </w:pPr>
      <w:r>
        <w:rPr>
          <w:rFonts w:hint="eastAsia"/>
          <w:sz w:val="28"/>
          <w:szCs w:val="28"/>
        </w:rPr>
        <w:t>四、论证报告</w:t>
      </w:r>
      <w:r>
        <w:rPr>
          <w:rFonts w:hint="eastAsia"/>
          <w:sz w:val="28"/>
          <w:szCs w:val="28"/>
        </w:rPr>
        <w:tab/>
      </w:r>
      <w:r>
        <w:rPr>
          <w:rFonts w:hint="eastAsia"/>
          <w:sz w:val="28"/>
          <w:szCs w:val="28"/>
        </w:rPr>
        <w:tab/>
      </w:r>
      <w:r>
        <w:rPr>
          <w:rFonts w:hint="eastAsia"/>
          <w:sz w:val="28"/>
          <w:szCs w:val="28"/>
        </w:rPr>
        <w:t xml:space="preserve">                          </w:t>
      </w:r>
      <w:r>
        <w:rPr>
          <w:rFonts w:hint="eastAsia"/>
          <w:sz w:val="20"/>
          <w:szCs w:val="20"/>
        </w:rPr>
        <w:t xml:space="preserve">                                      </w:t>
      </w:r>
    </w:p>
    <w:tbl>
      <w:tblPr>
        <w:tblStyle w:val="12"/>
        <w:tblW w:w="9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2881"/>
        <w:gridCol w:w="1852"/>
        <w:gridCol w:w="7"/>
        <w:gridCol w:w="2490"/>
      </w:tblGrid>
      <w:tr w14:paraId="6155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929" w:type="dxa"/>
            <w:vAlign w:val="center"/>
          </w:tcPr>
          <w:p w14:paraId="14D76775">
            <w:pPr>
              <w:jc w:val="center"/>
              <w:rPr>
                <w:rFonts w:ascii="宋体" w:hAnsi="宋体" w:eastAsia="宋体" w:cs="宋体"/>
                <w:szCs w:val="21"/>
              </w:rPr>
            </w:pPr>
            <w:r>
              <w:rPr>
                <w:rFonts w:hint="eastAsia" w:ascii="宋体" w:hAnsi="宋体" w:eastAsia="宋体" w:cs="宋体"/>
                <w:szCs w:val="21"/>
              </w:rPr>
              <w:t>设备/软件/家具等名 称</w:t>
            </w:r>
          </w:p>
        </w:tc>
        <w:tc>
          <w:tcPr>
            <w:tcW w:w="2881" w:type="dxa"/>
            <w:vAlign w:val="center"/>
          </w:tcPr>
          <w:p w14:paraId="43AD4B09">
            <w:pPr>
              <w:jc w:val="center"/>
              <w:rPr>
                <w:rFonts w:ascii="宋体" w:hAnsi="宋体" w:eastAsia="宋体" w:cs="宋体"/>
                <w:szCs w:val="21"/>
              </w:rPr>
            </w:pPr>
            <w:r>
              <w:rPr>
                <w:rFonts w:hint="eastAsia" w:ascii="宋体" w:hAnsi="宋体" w:eastAsia="宋体" w:cs="宋体"/>
                <w:szCs w:val="21"/>
              </w:rPr>
              <w:t>数字经济实验室（国际经济学综合决策仿真实验系统）</w:t>
            </w:r>
          </w:p>
        </w:tc>
        <w:tc>
          <w:tcPr>
            <w:tcW w:w="1852" w:type="dxa"/>
            <w:vAlign w:val="center"/>
          </w:tcPr>
          <w:p w14:paraId="318D4BC9">
            <w:pPr>
              <w:jc w:val="center"/>
              <w:rPr>
                <w:rFonts w:ascii="宋体" w:hAnsi="宋体" w:eastAsia="宋体" w:cs="宋体"/>
                <w:szCs w:val="21"/>
              </w:rPr>
            </w:pPr>
            <w:r>
              <w:rPr>
                <w:rFonts w:hint="eastAsia" w:ascii="宋体" w:hAnsi="宋体" w:eastAsia="宋体" w:cs="宋体"/>
                <w:szCs w:val="21"/>
              </w:rPr>
              <w:t>预算金额</w:t>
            </w:r>
          </w:p>
        </w:tc>
        <w:tc>
          <w:tcPr>
            <w:tcW w:w="2497" w:type="dxa"/>
            <w:gridSpan w:val="2"/>
            <w:vAlign w:val="center"/>
          </w:tcPr>
          <w:p w14:paraId="1532DE36">
            <w:pPr>
              <w:tabs>
                <w:tab w:val="left" w:pos="438"/>
              </w:tabs>
              <w:jc w:val="center"/>
              <w:rPr>
                <w:rFonts w:ascii="宋体" w:hAnsi="宋体" w:eastAsia="宋体" w:cs="宋体"/>
                <w:szCs w:val="21"/>
              </w:rPr>
            </w:pPr>
            <w:r>
              <w:rPr>
                <w:rFonts w:hint="eastAsia" w:ascii="宋体" w:hAnsi="宋体" w:eastAsia="宋体" w:cs="宋体"/>
                <w:szCs w:val="21"/>
              </w:rPr>
              <w:t>33.8万元</w:t>
            </w:r>
          </w:p>
        </w:tc>
      </w:tr>
      <w:tr w14:paraId="4358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929" w:type="dxa"/>
            <w:vAlign w:val="center"/>
          </w:tcPr>
          <w:p w14:paraId="547C88DE">
            <w:pPr>
              <w:jc w:val="center"/>
              <w:rPr>
                <w:rFonts w:ascii="宋体" w:hAnsi="宋体" w:eastAsia="宋体" w:cs="宋体"/>
                <w:szCs w:val="21"/>
              </w:rPr>
            </w:pPr>
            <w:r>
              <w:rPr>
                <w:rFonts w:hint="eastAsia" w:ascii="宋体" w:hAnsi="宋体" w:eastAsia="宋体" w:cs="宋体"/>
                <w:szCs w:val="21"/>
              </w:rPr>
              <w:t>施工或交货期限</w:t>
            </w:r>
          </w:p>
        </w:tc>
        <w:tc>
          <w:tcPr>
            <w:tcW w:w="2881" w:type="dxa"/>
            <w:vAlign w:val="center"/>
          </w:tcPr>
          <w:p w14:paraId="38955A62">
            <w:pPr>
              <w:jc w:val="center"/>
              <w:rPr>
                <w:rFonts w:ascii="宋体" w:hAnsi="宋体" w:eastAsia="宋体" w:cs="宋体"/>
                <w:szCs w:val="21"/>
              </w:rPr>
            </w:pPr>
            <w:r>
              <w:rPr>
                <w:rFonts w:hint="eastAsia" w:ascii="宋体" w:hAnsi="宋体" w:eastAsia="宋体" w:cs="宋体"/>
                <w:szCs w:val="21"/>
              </w:rPr>
              <w:t>签订合同后30天</w:t>
            </w:r>
          </w:p>
        </w:tc>
        <w:tc>
          <w:tcPr>
            <w:tcW w:w="1859" w:type="dxa"/>
            <w:gridSpan w:val="2"/>
            <w:vAlign w:val="center"/>
          </w:tcPr>
          <w:p w14:paraId="6178F692">
            <w:pPr>
              <w:jc w:val="center"/>
              <w:rPr>
                <w:rFonts w:ascii="宋体" w:hAnsi="宋体" w:eastAsia="宋体" w:cs="宋体"/>
                <w:szCs w:val="21"/>
              </w:rPr>
            </w:pPr>
            <w:r>
              <w:rPr>
                <w:rFonts w:hint="eastAsia" w:ascii="宋体" w:hAnsi="宋体" w:eastAsia="宋体" w:cs="宋体"/>
                <w:szCs w:val="21"/>
              </w:rPr>
              <w:t>保修期及要求</w:t>
            </w:r>
          </w:p>
        </w:tc>
        <w:tc>
          <w:tcPr>
            <w:tcW w:w="2490" w:type="dxa"/>
            <w:vAlign w:val="center"/>
          </w:tcPr>
          <w:p w14:paraId="0CD7F6F4">
            <w:pPr>
              <w:jc w:val="center"/>
              <w:rPr>
                <w:rFonts w:ascii="宋体" w:hAnsi="宋体" w:eastAsia="宋体" w:cs="宋体"/>
                <w:szCs w:val="21"/>
              </w:rPr>
            </w:pPr>
            <w:r>
              <w:rPr>
                <w:rFonts w:hint="eastAsia" w:ascii="宋体" w:hAnsi="宋体" w:eastAsia="宋体" w:cs="宋体"/>
                <w:szCs w:val="21"/>
              </w:rPr>
              <w:t>保修期3年</w:t>
            </w:r>
          </w:p>
        </w:tc>
      </w:tr>
      <w:tr w14:paraId="1D1C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1929" w:type="dxa"/>
            <w:vAlign w:val="center"/>
          </w:tcPr>
          <w:p w14:paraId="10C5F2FB">
            <w:pPr>
              <w:jc w:val="center"/>
              <w:rPr>
                <w:rFonts w:ascii="宋体" w:hAnsi="宋体" w:eastAsia="宋体" w:cs="宋体"/>
                <w:szCs w:val="21"/>
              </w:rPr>
            </w:pPr>
            <w:r>
              <w:rPr>
                <w:rFonts w:hint="eastAsia" w:ascii="宋体" w:hAnsi="宋体" w:eastAsia="宋体" w:cs="宋体"/>
                <w:szCs w:val="21"/>
              </w:rPr>
              <w:t>主要功能</w:t>
            </w:r>
          </w:p>
        </w:tc>
        <w:tc>
          <w:tcPr>
            <w:tcW w:w="7230" w:type="dxa"/>
            <w:gridSpan w:val="4"/>
            <w:vAlign w:val="center"/>
          </w:tcPr>
          <w:p w14:paraId="7394D060">
            <w:pPr>
              <w:numPr>
                <w:ilvl w:val="2"/>
                <w:numId w:val="19"/>
              </w:numPr>
              <w:jc w:val="left"/>
              <w:rPr>
                <w:rFonts w:ascii="宋体" w:hAnsi="宋体" w:eastAsia="宋体" w:cs="宋体"/>
                <w:b/>
                <w:color w:val="000000"/>
                <w:kern w:val="0"/>
                <w:szCs w:val="21"/>
              </w:rPr>
            </w:pPr>
            <w:r>
              <w:rPr>
                <w:rFonts w:hint="eastAsia" w:ascii="宋体" w:hAnsi="宋体" w:eastAsia="宋体" w:cs="宋体"/>
                <w:b/>
                <w:color w:val="000000"/>
                <w:kern w:val="0"/>
                <w:szCs w:val="21"/>
              </w:rPr>
              <w:t>基本要求</w:t>
            </w:r>
          </w:p>
          <w:p w14:paraId="3E0C2177">
            <w:pPr>
              <w:numPr>
                <w:ilvl w:val="3"/>
                <w:numId w:val="19"/>
              </w:numPr>
              <w:jc w:val="left"/>
              <w:rPr>
                <w:rFonts w:ascii="宋体" w:hAnsi="宋体" w:eastAsia="宋体" w:cs="宋体"/>
                <w:szCs w:val="21"/>
              </w:rPr>
            </w:pPr>
            <w:r>
              <w:rPr>
                <w:rFonts w:hint="eastAsia" w:ascii="宋体" w:hAnsi="宋体" w:eastAsia="宋体" w:cs="宋体"/>
                <w:szCs w:val="21"/>
              </w:rPr>
              <w:t>通过情景模拟、角色扮演的方法让学生体验国际经济与贸易的基本规律。系统同时设有不同国家，各国家内部可设立汽车/钢铁等不同类型厂商团队,各厂商团队可以竞选政府。如缺少多个国家、及各国内部的厂商运营均为无效应标。未当选政府小组可进行经济预测。</w:t>
            </w:r>
          </w:p>
          <w:p w14:paraId="4258EB90">
            <w:pPr>
              <w:numPr>
                <w:ilvl w:val="3"/>
                <w:numId w:val="19"/>
              </w:numPr>
              <w:jc w:val="left"/>
              <w:rPr>
                <w:rFonts w:ascii="宋体" w:hAnsi="宋体" w:eastAsia="宋体" w:cs="宋体"/>
                <w:szCs w:val="21"/>
              </w:rPr>
            </w:pPr>
            <w:r>
              <w:rPr>
                <w:rFonts w:hint="eastAsia" w:ascii="宋体" w:hAnsi="宋体" w:eastAsia="宋体" w:cs="宋体"/>
                <w:szCs w:val="21"/>
              </w:rPr>
              <w:t>具有满足实验要求的知识点，课件能够覆盖国际经济学，如绝对优势和比较优势理论、重叠需求理论、产品周期理论，并在PPT课件中使用软件中的数据说明如何体现以上理论。</w:t>
            </w:r>
          </w:p>
          <w:p w14:paraId="514010E9">
            <w:pPr>
              <w:numPr>
                <w:ilvl w:val="2"/>
                <w:numId w:val="19"/>
              </w:numPr>
              <w:jc w:val="left"/>
              <w:rPr>
                <w:rFonts w:ascii="宋体" w:hAnsi="宋体" w:eastAsia="宋体" w:cs="宋体"/>
                <w:b/>
                <w:color w:val="000000"/>
                <w:kern w:val="0"/>
                <w:szCs w:val="21"/>
              </w:rPr>
            </w:pPr>
            <w:r>
              <w:rPr>
                <w:rFonts w:hint="eastAsia" w:ascii="宋体" w:hAnsi="宋体" w:eastAsia="宋体" w:cs="宋体"/>
                <w:b/>
                <w:color w:val="000000"/>
                <w:kern w:val="0"/>
                <w:szCs w:val="21"/>
              </w:rPr>
              <w:t>教师端、学生端要求</w:t>
            </w:r>
          </w:p>
          <w:p w14:paraId="56182389">
            <w:pPr>
              <w:numPr>
                <w:ilvl w:val="3"/>
                <w:numId w:val="19"/>
              </w:numPr>
              <w:jc w:val="left"/>
              <w:rPr>
                <w:rFonts w:ascii="宋体" w:hAnsi="宋体" w:eastAsia="宋体" w:cs="宋体"/>
                <w:szCs w:val="21"/>
              </w:rPr>
            </w:pPr>
            <w:r>
              <w:rPr>
                <w:rFonts w:hint="eastAsia" w:ascii="宋体" w:hAnsi="宋体" w:eastAsia="宋体" w:cs="宋体"/>
                <w:szCs w:val="21"/>
              </w:rPr>
              <w:t>教师端功能</w:t>
            </w:r>
          </w:p>
          <w:p w14:paraId="02A74237">
            <w:pPr>
              <w:ind w:firstLine="420" w:firstLineChars="200"/>
              <w:jc w:val="left"/>
              <w:rPr>
                <w:rFonts w:ascii="宋体" w:hAnsi="宋体" w:eastAsia="宋体" w:cs="宋体"/>
                <w:szCs w:val="21"/>
              </w:rPr>
            </w:pPr>
            <w:r>
              <w:rPr>
                <w:rFonts w:hint="eastAsia" w:ascii="宋体" w:hAnsi="宋体" w:eastAsia="宋体" w:cs="宋体"/>
                <w:szCs w:val="21"/>
              </w:rPr>
              <w:t>【要素禀赋与比较优势】实验开始前可设置国家数量、各国厂商数量和劳动力总量系数。各国的劳动力总量系数，这将体现各国劳动力要素资源禀赋。</w:t>
            </w:r>
          </w:p>
          <w:p w14:paraId="5C9AA8D4">
            <w:pPr>
              <w:ind w:firstLine="420" w:firstLineChars="200"/>
              <w:jc w:val="left"/>
              <w:rPr>
                <w:rFonts w:ascii="宋体" w:hAnsi="宋体" w:eastAsia="宋体" w:cs="宋体"/>
                <w:szCs w:val="21"/>
              </w:rPr>
            </w:pPr>
            <w:r>
              <w:rPr>
                <w:rFonts w:hint="eastAsia" w:ascii="宋体" w:hAnsi="宋体" w:eastAsia="宋体" w:cs="宋体"/>
                <w:szCs w:val="21"/>
              </w:rPr>
              <w:t>【关税、非关税壁垒与贸易保护】可查看各国政府历年的宏观目标与数据，包括各国历年CPI、GDP增长率、失业率、个人总收入增长率。颁布的政策包括进口与出口关税（此关税可针对不同国家设置不同进口与出口关税）。当进出口关税为负时，达到进出口补贴效果。老师也可查看未当选政府小组的经济预测。</w:t>
            </w:r>
          </w:p>
          <w:p w14:paraId="225E3074">
            <w:pPr>
              <w:ind w:firstLine="420" w:firstLineChars="200"/>
              <w:jc w:val="left"/>
              <w:rPr>
                <w:rFonts w:ascii="宋体" w:hAnsi="宋体" w:eastAsia="宋体" w:cs="宋体"/>
                <w:szCs w:val="21"/>
              </w:rPr>
            </w:pPr>
            <w:r>
              <w:rPr>
                <w:rFonts w:hint="eastAsia" w:ascii="宋体" w:hAnsi="宋体" w:eastAsia="宋体" w:cs="宋体"/>
                <w:szCs w:val="21"/>
              </w:rPr>
              <w:t>【汇率与国际收支平衡】可查看各国国际</w:t>
            </w:r>
            <w:r>
              <w:rPr>
                <w:rFonts w:hint="eastAsia" w:ascii="宋体" w:hAnsi="宋体" w:eastAsia="宋体" w:cs="宋体"/>
                <w:szCs w:val="21"/>
                <w:lang w:eastAsia="zh-CN"/>
              </w:rPr>
              <w:t>收支平衡</w:t>
            </w:r>
            <w:r>
              <w:rPr>
                <w:rFonts w:hint="eastAsia" w:ascii="宋体" w:hAnsi="宋体" w:eastAsia="宋体" w:cs="宋体"/>
                <w:szCs w:val="21"/>
              </w:rPr>
              <w:t>顺差或逆差。教师端可查看各国政府设置的固定汇率、浮动汇率或按系统默认汇率，这会影响国际收支平衡。</w:t>
            </w:r>
          </w:p>
          <w:p w14:paraId="7B586DFA">
            <w:pPr>
              <w:ind w:firstLine="420" w:firstLineChars="200"/>
              <w:jc w:val="left"/>
              <w:rPr>
                <w:rFonts w:ascii="宋体" w:hAnsi="宋体" w:eastAsia="宋体" w:cs="宋体"/>
                <w:szCs w:val="21"/>
              </w:rPr>
            </w:pPr>
            <w:r>
              <w:rPr>
                <w:rFonts w:hint="eastAsia" w:ascii="宋体" w:hAnsi="宋体" w:eastAsia="宋体" w:cs="宋体"/>
                <w:szCs w:val="21"/>
              </w:rPr>
              <w:t>【需求、技术变化与国际贸易】系统可模拟一国的人均总收入将影响该国高档与普通产品需求，当国家间的人均总收入接近时，会产生高档商品的需求重叠。教师端可查看高档、普通订单竞标结果。可在竞标前订单模拟。</w:t>
            </w:r>
          </w:p>
          <w:p w14:paraId="6AB7ADEA">
            <w:pPr>
              <w:ind w:firstLine="420" w:firstLineChars="200"/>
              <w:jc w:val="left"/>
              <w:rPr>
                <w:rFonts w:ascii="宋体" w:hAnsi="宋体" w:eastAsia="宋体" w:cs="宋体"/>
                <w:szCs w:val="21"/>
              </w:rPr>
            </w:pPr>
            <w:r>
              <w:rPr>
                <w:rFonts w:hint="eastAsia" w:ascii="宋体" w:hAnsi="宋体" w:eastAsia="宋体" w:cs="宋体"/>
                <w:szCs w:val="21"/>
              </w:rPr>
              <w:t>【规模经济、不完全竞争】可通过设置厂商数量来模拟不完全竞争市场，教师端查看钢材集中交易情况、铁精粉竞标结果等。</w:t>
            </w:r>
          </w:p>
          <w:p w14:paraId="0B315455">
            <w:pPr>
              <w:ind w:firstLine="420" w:firstLineChars="200"/>
              <w:jc w:val="left"/>
              <w:rPr>
                <w:rFonts w:ascii="宋体" w:hAnsi="宋体" w:eastAsia="宋体" w:cs="宋体"/>
                <w:szCs w:val="21"/>
              </w:rPr>
            </w:pPr>
            <w:r>
              <w:rPr>
                <w:rFonts w:hint="eastAsia" w:ascii="宋体" w:hAnsi="宋体" w:eastAsia="宋体" w:cs="宋体"/>
                <w:szCs w:val="21"/>
              </w:rPr>
              <w:t>【国际要素流动与跨国直接投资】各国政府通颁布劳动力最低工资、劳动力跨国流动系数、货币发行量影响要素市场的供给。可查看各国商业贷款、劳动力要素竞标情况，还可查看各国组间贷款等资本跨国流动情况。</w:t>
            </w:r>
          </w:p>
          <w:p w14:paraId="12570432">
            <w:pPr>
              <w:ind w:firstLine="420" w:firstLineChars="200"/>
              <w:jc w:val="left"/>
              <w:rPr>
                <w:rFonts w:ascii="宋体" w:hAnsi="宋体" w:eastAsia="宋体" w:cs="宋体"/>
                <w:szCs w:val="21"/>
              </w:rPr>
            </w:pPr>
            <w:r>
              <w:rPr>
                <w:rFonts w:hint="eastAsia" w:ascii="宋体" w:hAnsi="宋体" w:eastAsia="宋体" w:cs="宋体"/>
                <w:szCs w:val="21"/>
              </w:rPr>
              <w:t>【绩效管理】老师端每期结束后，可查看当期各国进出口情况、各国关税收入、各国名义与实际GDP（含各厂商贡献的GDP明细）、CPI、个人总收入厂商收入及政府收入、财政赤字及赤字扣分，以便老师对各国经济情况进行点评。</w:t>
            </w:r>
          </w:p>
          <w:p w14:paraId="3962BD54">
            <w:pPr>
              <w:ind w:firstLine="420" w:firstLineChars="200"/>
              <w:jc w:val="left"/>
              <w:rPr>
                <w:rFonts w:ascii="宋体" w:hAnsi="宋体" w:eastAsia="宋体" w:cs="宋体"/>
                <w:szCs w:val="21"/>
              </w:rPr>
            </w:pPr>
            <w:r>
              <w:rPr>
                <w:rFonts w:hint="eastAsia" w:ascii="宋体" w:hAnsi="宋体" w:eastAsia="宋体" w:cs="宋体"/>
                <w:szCs w:val="21"/>
              </w:rPr>
              <w:t>【教学评分】老师在建班时可设置宏观经济指标得分按达到各国政府实现竞选指标得分，还是按国家之间宏观经济指标排名得分；未当选政府小组按经济预测得分。</w:t>
            </w:r>
          </w:p>
          <w:p w14:paraId="1D0D9846">
            <w:pPr>
              <w:numPr>
                <w:ilvl w:val="3"/>
                <w:numId w:val="19"/>
              </w:numPr>
              <w:jc w:val="left"/>
              <w:rPr>
                <w:rFonts w:ascii="宋体" w:hAnsi="宋体" w:eastAsia="宋体" w:cs="宋体"/>
                <w:szCs w:val="21"/>
              </w:rPr>
            </w:pPr>
            <w:r>
              <w:rPr>
                <w:rFonts w:hint="eastAsia" w:ascii="宋体" w:hAnsi="宋体" w:eastAsia="宋体" w:cs="宋体"/>
                <w:szCs w:val="21"/>
              </w:rPr>
              <w:t>学生端功能</w:t>
            </w:r>
          </w:p>
          <w:p w14:paraId="5CBAE847">
            <w:pPr>
              <w:ind w:firstLine="420" w:firstLineChars="200"/>
              <w:jc w:val="left"/>
              <w:rPr>
                <w:rFonts w:ascii="宋体" w:hAnsi="宋体" w:eastAsia="宋体" w:cs="宋体"/>
                <w:szCs w:val="21"/>
              </w:rPr>
            </w:pPr>
            <w:r>
              <w:rPr>
                <w:rFonts w:hint="eastAsia" w:ascii="宋体" w:hAnsi="宋体" w:eastAsia="宋体" w:cs="宋体"/>
                <w:szCs w:val="21"/>
              </w:rPr>
              <w:t>学生端功能包括要素禀赋与比较优势，关税、非关税壁垒与贸易保护，汇率与国际收支平衡，需求、技术变化与国际贸易，规模经济、不完全竞争，国际要素流动与跨国直接投资，年终事宜等功能模块。</w:t>
            </w:r>
          </w:p>
          <w:p w14:paraId="1176EC9C">
            <w:pPr>
              <w:ind w:firstLine="420" w:firstLineChars="200"/>
              <w:jc w:val="left"/>
              <w:rPr>
                <w:rFonts w:ascii="宋体" w:hAnsi="宋体" w:eastAsia="宋体" w:cs="宋体"/>
                <w:szCs w:val="21"/>
              </w:rPr>
            </w:pPr>
            <w:r>
              <w:rPr>
                <w:rFonts w:hint="eastAsia" w:ascii="宋体" w:hAnsi="宋体" w:eastAsia="宋体" w:cs="宋体"/>
                <w:szCs w:val="21"/>
              </w:rPr>
              <w:t>【要素禀赋与比较优势】可查看实验设置的国家数量、各国厂商数量和劳动力总量系数、决策历史、小组信息、制胜法宝、实时盘点、历史消息。劳动力总量系数越低的国家，越有可能拥有高档产品生产线，且生产线效率会随工资而升高。</w:t>
            </w:r>
          </w:p>
          <w:p w14:paraId="5B080904">
            <w:pPr>
              <w:ind w:firstLine="420" w:firstLineChars="200"/>
              <w:jc w:val="left"/>
              <w:rPr>
                <w:rFonts w:ascii="宋体" w:hAnsi="宋体" w:eastAsia="宋体" w:cs="宋体"/>
                <w:szCs w:val="21"/>
              </w:rPr>
            </w:pPr>
            <w:r>
              <w:rPr>
                <w:rFonts w:hint="eastAsia" w:ascii="宋体" w:hAnsi="宋体" w:eastAsia="宋体" w:cs="宋体"/>
                <w:szCs w:val="21"/>
              </w:rPr>
              <w:t>【关税、非关税壁垒与贸易保护】出口商负担出口关税、进口商负担进口关税，各厂商可指向其他国家各厂商进行汽车、钢铁、铁精粉的进出口,并自动计算关税。</w:t>
            </w:r>
          </w:p>
          <w:p w14:paraId="2621E87C">
            <w:pPr>
              <w:ind w:firstLine="420" w:firstLineChars="200"/>
              <w:jc w:val="left"/>
              <w:rPr>
                <w:rFonts w:ascii="宋体" w:hAnsi="宋体" w:eastAsia="宋体" w:cs="宋体"/>
                <w:szCs w:val="21"/>
              </w:rPr>
            </w:pPr>
            <w:r>
              <w:rPr>
                <w:rFonts w:hint="eastAsia" w:ascii="宋体" w:hAnsi="宋体" w:eastAsia="宋体" w:cs="宋体"/>
                <w:szCs w:val="21"/>
              </w:rPr>
              <w:t>【汇率与国际收支平衡】当汇率会影响原料进出口、产成品进出口、进口生产线价格。还会影响跨国借贷的汇率损益。</w:t>
            </w:r>
          </w:p>
          <w:p w14:paraId="66517FEF">
            <w:pPr>
              <w:ind w:firstLine="420" w:firstLineChars="200"/>
              <w:jc w:val="left"/>
              <w:rPr>
                <w:rFonts w:ascii="宋体" w:hAnsi="宋体" w:eastAsia="宋体" w:cs="宋体"/>
                <w:szCs w:val="21"/>
              </w:rPr>
            </w:pPr>
            <w:r>
              <w:rPr>
                <w:rFonts w:hint="eastAsia" w:ascii="宋体" w:hAnsi="宋体" w:eastAsia="宋体" w:cs="宋体"/>
                <w:szCs w:val="21"/>
              </w:rPr>
              <w:t>【需求、技术变化与国际贸易】各国厂商的高档和普通商品生产线，均可通过翻新技术改造，延长产品生命周期。各厂商可根据绝对优势与比较优势交易产品、合作生产。高档生产线可由劳动力系数较低的国家向劳动力系数较高的国家转移，实现技术的跨国流动。各厂商可参与高档、普通订单竞标，查看竞标结果，在竞标前可订单模拟。</w:t>
            </w:r>
          </w:p>
          <w:p w14:paraId="3492DD1D">
            <w:pPr>
              <w:ind w:firstLine="420" w:firstLineChars="200"/>
              <w:jc w:val="left"/>
              <w:rPr>
                <w:rFonts w:ascii="宋体" w:hAnsi="宋体" w:eastAsia="宋体" w:cs="宋体"/>
                <w:szCs w:val="21"/>
              </w:rPr>
            </w:pPr>
            <w:r>
              <w:rPr>
                <w:rFonts w:hint="eastAsia" w:ascii="宋体" w:hAnsi="宋体" w:eastAsia="宋体" w:cs="宋体"/>
                <w:szCs w:val="21"/>
              </w:rPr>
              <w:t>【规模经济、不完全竞争】各国厂商可进行钢材采购、铁精粉竞标等操作并存在规模采购原料的经济优势。预定期货（当年预定次年初到货）时，价格也更低。各厂商都可以跨行业建立生产线并进行生产，以防止不完全竞争。生产线每年折旧5%，产能亦每年递减5%。各生产线产能提升方式：劳动力投入数量增加、支付大额加班费、翻新改造。通过产能模拟可知每条高档和普通生产线的生产能力（边际产能递减）。</w:t>
            </w:r>
          </w:p>
          <w:p w14:paraId="4BA92A0A">
            <w:pPr>
              <w:ind w:firstLine="420" w:firstLineChars="200"/>
              <w:jc w:val="left"/>
              <w:rPr>
                <w:rFonts w:ascii="宋体" w:hAnsi="宋体" w:eastAsia="宋体" w:cs="宋体"/>
                <w:szCs w:val="21"/>
              </w:rPr>
            </w:pPr>
            <w:r>
              <w:rPr>
                <w:rFonts w:hint="eastAsia" w:ascii="宋体" w:hAnsi="宋体" w:eastAsia="宋体" w:cs="宋体"/>
                <w:szCs w:val="21"/>
              </w:rPr>
              <w:t>【国际要素流动与跨国直接投资】各国厂商可以跨国借出、贷入资金。且国家内部可以进行商业贷款、劳动力的竞标模拟。</w:t>
            </w:r>
          </w:p>
          <w:p w14:paraId="1636DABD">
            <w:pPr>
              <w:ind w:firstLine="420" w:firstLineChars="200"/>
              <w:jc w:val="left"/>
              <w:rPr>
                <w:rFonts w:ascii="宋体" w:hAnsi="宋体" w:eastAsia="宋体" w:cs="宋体"/>
                <w:szCs w:val="21"/>
              </w:rPr>
            </w:pPr>
            <w:r>
              <w:rPr>
                <w:rFonts w:hint="eastAsia" w:ascii="宋体" w:hAnsi="宋体" w:eastAsia="宋体" w:cs="宋体"/>
                <w:szCs w:val="21"/>
              </w:rPr>
              <w:t>【绩效查看】各组可查看本国和他国各组的国际收支平衡情况，生产线翻新改造信息，原料及产成品信息，交付订单情况。经营结束查看系统自动生成的各国各组利润表、资产负债表，以分析自己当期经营情况。查看各国宏观经济数据统计结果，以及各国各组得分。</w:t>
            </w:r>
          </w:p>
        </w:tc>
      </w:tr>
      <w:tr w14:paraId="45CD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2" w:hRule="atLeast"/>
          <w:jc w:val="center"/>
        </w:trPr>
        <w:tc>
          <w:tcPr>
            <w:tcW w:w="1929" w:type="dxa"/>
            <w:vAlign w:val="center"/>
          </w:tcPr>
          <w:p w14:paraId="05143521">
            <w:pPr>
              <w:jc w:val="center"/>
              <w:rPr>
                <w:rFonts w:ascii="宋体" w:hAnsi="宋体" w:eastAsia="宋体" w:cs="宋体"/>
                <w:szCs w:val="21"/>
              </w:rPr>
            </w:pPr>
            <w:r>
              <w:rPr>
                <w:rFonts w:hint="eastAsia" w:ascii="宋体" w:hAnsi="宋体" w:eastAsia="宋体" w:cs="宋体"/>
                <w:szCs w:val="21"/>
              </w:rPr>
              <w:t>招标用技术参数</w:t>
            </w:r>
          </w:p>
        </w:tc>
        <w:tc>
          <w:tcPr>
            <w:tcW w:w="7230" w:type="dxa"/>
            <w:gridSpan w:val="4"/>
            <w:vAlign w:val="center"/>
          </w:tcPr>
          <w:p w14:paraId="6AA70636">
            <w:pPr>
              <w:ind w:left="360"/>
              <w:rPr>
                <w:rFonts w:ascii="宋体" w:hAnsi="宋体" w:eastAsia="宋体" w:cs="宋体"/>
                <w:szCs w:val="21"/>
              </w:rPr>
            </w:pPr>
            <w:r>
              <w:rPr>
                <w:rFonts w:hint="eastAsia" w:ascii="宋体" w:hAnsi="宋体" w:eastAsia="宋体" w:cs="宋体"/>
                <w:szCs w:val="21"/>
              </w:rPr>
              <w:t>1.该技术参数必须是三个以上生产厂家满足的参数</w:t>
            </w:r>
          </w:p>
          <w:p w14:paraId="2CC1B56A">
            <w:pPr>
              <w:ind w:left="360"/>
              <w:rPr>
                <w:rFonts w:ascii="宋体" w:hAnsi="宋体" w:eastAsia="宋体" w:cs="宋体"/>
                <w:szCs w:val="21"/>
              </w:rPr>
            </w:pPr>
            <w:r>
              <w:rPr>
                <w:rFonts w:hint="eastAsia" w:ascii="宋体" w:hAnsi="宋体" w:eastAsia="宋体" w:cs="宋体"/>
                <w:szCs w:val="21"/>
              </w:rPr>
              <w:t>2.该技术参数中不能出现厂家的型号、规格或代号</w:t>
            </w:r>
          </w:p>
          <w:p w14:paraId="6B3F06B9">
            <w:pPr>
              <w:pStyle w:val="4"/>
              <w:spacing w:before="120" w:after="120" w:line="240" w:lineRule="auto"/>
              <w:jc w:val="left"/>
              <w:rPr>
                <w:rFonts w:ascii="宋体" w:hAnsi="宋体" w:eastAsia="宋体" w:cs="宋体"/>
                <w:sz w:val="21"/>
                <w:szCs w:val="21"/>
              </w:rPr>
            </w:pPr>
            <w:r>
              <w:rPr>
                <w:rFonts w:hint="eastAsia" w:ascii="宋体" w:hAnsi="宋体" w:eastAsia="宋体" w:cs="宋体"/>
                <w:sz w:val="21"/>
                <w:szCs w:val="21"/>
              </w:rPr>
              <w:t>一、基本要求（加★号项需现场演示，否则不作为中标候选人）</w:t>
            </w:r>
          </w:p>
          <w:p w14:paraId="2DC78244">
            <w:pPr>
              <w:numPr>
                <w:ilvl w:val="0"/>
                <w:numId w:val="20"/>
              </w:numPr>
              <w:rPr>
                <w:rFonts w:ascii="宋体" w:hAnsi="宋体" w:eastAsia="宋体" w:cs="宋体"/>
                <w:szCs w:val="21"/>
              </w:rPr>
            </w:pPr>
            <w:r>
              <w:rPr>
                <w:rFonts w:hint="eastAsia" w:ascii="宋体" w:hAnsi="宋体" w:eastAsia="宋体" w:cs="宋体"/>
                <w:szCs w:val="21"/>
              </w:rPr>
              <w:t>通过情景模拟、角色扮演的方法让学员体验国际经济与贸易的基本规律。★系统同时设有不同国家，各国家内部可设立汽车/钢铁等不同类型厂商团队,各厂商团队可以竞选政府。如缺少多个国家、及各国内部的厂商运营均为无效应标。如没有政府竞选功能和指标预测功能，也为无效应标。</w:t>
            </w:r>
          </w:p>
          <w:p w14:paraId="7E277929">
            <w:pPr>
              <w:numPr>
                <w:ilvl w:val="0"/>
                <w:numId w:val="20"/>
              </w:numPr>
              <w:rPr>
                <w:rFonts w:ascii="宋体" w:hAnsi="宋体" w:eastAsia="宋体" w:cs="宋体"/>
                <w:szCs w:val="21"/>
              </w:rPr>
            </w:pPr>
            <w:r>
              <w:rPr>
                <w:rFonts w:hint="eastAsia" w:ascii="宋体" w:hAnsi="宋体" w:eastAsia="宋体" w:cs="宋体"/>
                <w:szCs w:val="21"/>
              </w:rPr>
              <w:t>具有满足实验要求的知识点，课件能够覆盖国际经济学，如绝对优势和比较优势理论、重叠需求理论、产品周期理论，并在PPT课件中使用软件中的数据说明如何体现以上理论。★投标人需现场讲解以上各知识点在软件中的体现，只要一个未讲解清楚，即为无效应标。</w:t>
            </w:r>
          </w:p>
          <w:p w14:paraId="61012623">
            <w:pPr>
              <w:numPr>
                <w:ilvl w:val="0"/>
                <w:numId w:val="20"/>
              </w:numPr>
              <w:rPr>
                <w:rFonts w:ascii="宋体" w:hAnsi="宋体" w:eastAsia="宋体" w:cs="宋体"/>
                <w:szCs w:val="21"/>
              </w:rPr>
            </w:pPr>
            <w:r>
              <w:rPr>
                <w:rFonts w:hint="eastAsia" w:ascii="宋体" w:hAnsi="宋体" w:eastAsia="宋体" w:cs="宋体"/>
                <w:szCs w:val="21"/>
              </w:rPr>
              <w:t>具有完全自主著作权，须提供加盖制造商鲜章的著作权复印件，且现场在“中国版权服务”微信公众号查验著作权真伪。否则应提供在“中国版权服务”微信公众号著作权核查结果截图并加盖制造商鲜章。如提供虚假著作权，将按虚假应标处罚。如知识产权属于个人所有，需同时提供知识产权所有人身份证复印件。如非制造厂商投标，需提供制造厂商授权函和售后服务承诺函原件。</w:t>
            </w:r>
          </w:p>
          <w:p w14:paraId="644AF6DB">
            <w:pPr>
              <w:numPr>
                <w:ilvl w:val="0"/>
                <w:numId w:val="20"/>
              </w:numPr>
              <w:rPr>
                <w:rFonts w:ascii="宋体" w:hAnsi="宋体" w:eastAsia="宋体" w:cs="宋体"/>
                <w:szCs w:val="21"/>
              </w:rPr>
            </w:pPr>
            <w:r>
              <w:rPr>
                <w:rFonts w:hint="eastAsia" w:ascii="宋体" w:hAnsi="宋体" w:eastAsia="宋体" w:cs="宋体"/>
                <w:szCs w:val="21"/>
              </w:rPr>
              <w:t>★软件为全国大赛指定软件。提供全国大赛主办单位证明文件的复印件。</w:t>
            </w:r>
          </w:p>
          <w:p w14:paraId="2C3B4DFF">
            <w:pPr>
              <w:numPr>
                <w:ilvl w:val="0"/>
                <w:numId w:val="20"/>
              </w:numPr>
              <w:rPr>
                <w:rFonts w:ascii="宋体" w:hAnsi="宋体" w:eastAsia="宋体" w:cs="宋体"/>
                <w:szCs w:val="21"/>
              </w:rPr>
            </w:pPr>
            <w:r>
              <w:rPr>
                <w:rFonts w:hint="eastAsia" w:ascii="宋体" w:hAnsi="宋体" w:eastAsia="宋体" w:cs="宋体"/>
                <w:szCs w:val="21"/>
              </w:rPr>
              <w:t>原厂制造商针对产品举办过全国性师资培训会。须提供加盖鲜章的师资培训会通知复印件和现场照片。</w:t>
            </w:r>
          </w:p>
          <w:p w14:paraId="1B938CFD">
            <w:pPr>
              <w:numPr>
                <w:ilvl w:val="0"/>
                <w:numId w:val="20"/>
              </w:numPr>
              <w:rPr>
                <w:rFonts w:ascii="宋体" w:hAnsi="宋体" w:eastAsia="宋体" w:cs="宋体"/>
                <w:szCs w:val="21"/>
              </w:rPr>
            </w:pPr>
            <w:r>
              <w:rPr>
                <w:rFonts w:hint="eastAsia" w:ascii="宋体" w:hAnsi="宋体" w:eastAsia="宋体" w:cs="宋体"/>
                <w:szCs w:val="21"/>
              </w:rPr>
              <w:t>排名第一的供应商在合同签订前还需</w:t>
            </w:r>
            <w:r>
              <w:rPr>
                <w:rFonts w:hint="eastAsia" w:ascii="宋体" w:hAnsi="宋体" w:eastAsia="宋体" w:cs="宋体"/>
                <w:b/>
                <w:szCs w:val="21"/>
              </w:rPr>
              <w:t>现场演示</w:t>
            </w:r>
            <w:r>
              <w:rPr>
                <w:rFonts w:hint="eastAsia" w:ascii="宋体" w:hAnsi="宋体" w:eastAsia="宋体" w:cs="宋体"/>
                <w:szCs w:val="21"/>
              </w:rPr>
              <w:t>并获得最终使用此软件的老师签字认可，否则依次顺位下一排名的供应商作为中标方。</w:t>
            </w:r>
          </w:p>
          <w:p w14:paraId="0D68262A">
            <w:pPr>
              <w:pStyle w:val="4"/>
              <w:spacing w:before="120" w:after="120" w:line="240" w:lineRule="auto"/>
              <w:jc w:val="left"/>
              <w:rPr>
                <w:rFonts w:ascii="宋体" w:hAnsi="宋体" w:eastAsia="宋体" w:cs="宋体"/>
                <w:sz w:val="21"/>
                <w:szCs w:val="21"/>
              </w:rPr>
            </w:pPr>
            <w:r>
              <w:rPr>
                <w:rFonts w:hint="eastAsia" w:ascii="宋体" w:hAnsi="宋体" w:eastAsia="宋体" w:cs="宋体"/>
                <w:sz w:val="21"/>
                <w:szCs w:val="21"/>
              </w:rPr>
              <w:t>二、虚拟仿真模块参数（加★号项需现场演示，否则不作为中标候选人）</w:t>
            </w:r>
          </w:p>
          <w:p w14:paraId="2D70CAA0">
            <w:pPr>
              <w:keepNext/>
              <w:keepLines/>
              <w:numPr>
                <w:ilvl w:val="0"/>
                <w:numId w:val="21"/>
              </w:numPr>
              <w:spacing w:before="120" w:after="120"/>
              <w:ind w:left="1202"/>
              <w:outlineLvl w:val="1"/>
              <w:rPr>
                <w:rFonts w:ascii="宋体" w:hAnsi="宋体" w:eastAsia="宋体" w:cs="宋体"/>
                <w:b/>
                <w:bCs/>
                <w:szCs w:val="21"/>
              </w:rPr>
            </w:pPr>
            <w:r>
              <w:rPr>
                <w:rFonts w:hint="eastAsia" w:ascii="宋体" w:hAnsi="宋体" w:eastAsia="宋体" w:cs="宋体"/>
                <w:b/>
                <w:bCs/>
                <w:szCs w:val="21"/>
              </w:rPr>
              <w:t>教师端功能</w:t>
            </w:r>
          </w:p>
          <w:p w14:paraId="1CE26478">
            <w:pPr>
              <w:widowControl/>
              <w:ind w:left="360"/>
              <w:jc w:val="left"/>
              <w:rPr>
                <w:rFonts w:ascii="宋体" w:hAnsi="宋体" w:eastAsia="宋体" w:cs="宋体"/>
                <w:szCs w:val="21"/>
              </w:rPr>
            </w:pPr>
            <w:r>
              <w:rPr>
                <w:rFonts w:hint="eastAsia" w:ascii="宋体" w:hAnsi="宋体" w:eastAsia="宋体" w:cs="宋体"/>
                <w:szCs w:val="21"/>
              </w:rPr>
              <w:t>【要素禀赋与比较优势】实验开始前可设置国家数量、各国厂商数量和劳动力总量系数。各国的劳动力总量系数，这将体现各国劳动力要素资源禀赋。★投标人需现场建班设置国家数量、各国厂商数量、各国劳动总量系数，如无法设置，即为无效应标。</w:t>
            </w:r>
          </w:p>
          <w:p w14:paraId="666A851B">
            <w:pPr>
              <w:widowControl/>
              <w:ind w:left="360"/>
              <w:jc w:val="left"/>
              <w:rPr>
                <w:rFonts w:ascii="宋体" w:hAnsi="宋体" w:eastAsia="宋体" w:cs="宋体"/>
                <w:szCs w:val="21"/>
              </w:rPr>
            </w:pPr>
            <w:r>
              <w:rPr>
                <w:rFonts w:hint="eastAsia" w:ascii="宋体" w:hAnsi="宋体" w:eastAsia="宋体" w:cs="宋体"/>
                <w:szCs w:val="21"/>
              </w:rPr>
              <w:t>★【关税、非关税壁垒与贸易保护】可查看各国政府历年的宏观目标与数据，包括</w:t>
            </w:r>
            <w:r>
              <w:rPr>
                <w:rFonts w:hint="eastAsia" w:ascii="宋体" w:hAnsi="宋体" w:eastAsia="宋体" w:cs="宋体"/>
                <w:b/>
                <w:szCs w:val="21"/>
              </w:rPr>
              <w:t>各国历年</w:t>
            </w:r>
            <w:r>
              <w:rPr>
                <w:rFonts w:hint="eastAsia" w:ascii="宋体" w:hAnsi="宋体" w:eastAsia="宋体" w:cs="宋体"/>
                <w:szCs w:val="21"/>
              </w:rPr>
              <w:t>CPI、GDP增长率、失业率、个人总收入增长率。颁布的政策包括进口与出口关税（此关税可针对不同国家设置不同进口与出口关税）。当进出口关税为负时，达到进出口补贴效果。老师也可查看未当选政府小组的经济预测。如以上任一数据或指标缺失、或无法现场解释对后续操作的影响，即为无效应标。</w:t>
            </w:r>
          </w:p>
          <w:p w14:paraId="48B00FB4">
            <w:pPr>
              <w:widowControl/>
              <w:ind w:left="360"/>
              <w:jc w:val="left"/>
              <w:rPr>
                <w:rFonts w:ascii="宋体" w:hAnsi="宋体" w:eastAsia="宋体" w:cs="宋体"/>
                <w:szCs w:val="21"/>
              </w:rPr>
            </w:pPr>
            <w:r>
              <w:rPr>
                <w:rFonts w:hint="eastAsia" w:ascii="宋体" w:hAnsi="宋体" w:eastAsia="宋体" w:cs="宋体"/>
                <w:szCs w:val="21"/>
              </w:rPr>
              <w:t>【汇率与国际收支平衡】可查看各国国际</w:t>
            </w:r>
            <w:r>
              <w:rPr>
                <w:rFonts w:hint="eastAsia" w:ascii="宋体" w:hAnsi="宋体" w:eastAsia="宋体" w:cs="宋体"/>
                <w:szCs w:val="21"/>
                <w:lang w:eastAsia="zh-CN"/>
              </w:rPr>
              <w:t>收支平衡</w:t>
            </w:r>
            <w:r>
              <w:rPr>
                <w:rFonts w:hint="eastAsia" w:ascii="宋体" w:hAnsi="宋体" w:eastAsia="宋体" w:cs="宋体"/>
                <w:szCs w:val="21"/>
              </w:rPr>
              <w:t>顺差或逆差。教师端可查看各国政府设置的固定汇率、浮动汇率或按系统默认汇率，这会影响国际收支平衡。</w:t>
            </w:r>
          </w:p>
          <w:p w14:paraId="5032FA2F">
            <w:pPr>
              <w:widowControl/>
              <w:ind w:left="360"/>
              <w:jc w:val="left"/>
              <w:rPr>
                <w:rFonts w:ascii="宋体" w:hAnsi="宋体" w:eastAsia="宋体" w:cs="宋体"/>
                <w:szCs w:val="21"/>
              </w:rPr>
            </w:pPr>
            <w:r>
              <w:rPr>
                <w:rFonts w:hint="eastAsia" w:ascii="宋体" w:hAnsi="宋体" w:eastAsia="宋体" w:cs="宋体"/>
                <w:szCs w:val="21"/>
              </w:rPr>
              <w:t>【需求、技术变化与国际贸易】系统可模拟一国的人均总收入将影响该国高档与普通产品需求，当国家间的人均总收入接近时，会产生高档商品的需求重叠。教师端可查看高档、普通订单竞标结果。可在竞标前订单模拟。如无以上数据公示，或无订单模拟功能，即为无效应标。</w:t>
            </w:r>
          </w:p>
          <w:p w14:paraId="4686D04B">
            <w:pPr>
              <w:widowControl/>
              <w:ind w:left="360"/>
              <w:jc w:val="left"/>
              <w:rPr>
                <w:rFonts w:ascii="宋体" w:hAnsi="宋体" w:eastAsia="宋体" w:cs="宋体"/>
                <w:szCs w:val="21"/>
              </w:rPr>
            </w:pPr>
            <w:r>
              <w:rPr>
                <w:rFonts w:hint="eastAsia" w:ascii="宋体" w:hAnsi="宋体" w:eastAsia="宋体" w:cs="宋体"/>
                <w:szCs w:val="21"/>
              </w:rPr>
              <w:t>【规模经济、不完全竞争】可通过设置厂商数量来模拟不完全竞争市场，教师端查看钢材集中交易情况、铁精粉竞标结果等。如无以上数据公示，或无进出口钢材功能，即为无效应标。</w:t>
            </w:r>
          </w:p>
          <w:p w14:paraId="447C341F">
            <w:pPr>
              <w:widowControl/>
              <w:ind w:left="360"/>
              <w:jc w:val="left"/>
              <w:rPr>
                <w:rFonts w:ascii="宋体" w:hAnsi="宋体" w:eastAsia="宋体" w:cs="宋体"/>
                <w:szCs w:val="21"/>
              </w:rPr>
            </w:pPr>
            <w:r>
              <w:rPr>
                <w:rFonts w:hint="eastAsia" w:ascii="宋体" w:hAnsi="宋体" w:eastAsia="宋体" w:cs="宋体"/>
                <w:szCs w:val="21"/>
              </w:rPr>
              <w:t>【国际要素流动与跨国直接投资】各国政府通颁布劳动力最低工资、劳动力跨国流动系数、货币发行量影响要素市场的供给。可查看各国商业贷款、劳动力要素竞标情况，还可查看各国组间贷款等资本跨国流动情况。</w:t>
            </w:r>
          </w:p>
          <w:p w14:paraId="1DB94CAD">
            <w:pPr>
              <w:widowControl/>
              <w:ind w:left="360"/>
              <w:jc w:val="left"/>
              <w:rPr>
                <w:rFonts w:ascii="宋体" w:hAnsi="宋体" w:eastAsia="宋体" w:cs="宋体"/>
                <w:szCs w:val="21"/>
              </w:rPr>
            </w:pPr>
            <w:r>
              <w:rPr>
                <w:rFonts w:hint="eastAsia" w:ascii="宋体" w:hAnsi="宋体" w:eastAsia="宋体" w:cs="宋体"/>
                <w:szCs w:val="21"/>
              </w:rPr>
              <w:t>★【绩效管理】老师端每期结束后，可查看当期各国进出口情况、各国关税收入、各国名义与实际GDP（含各厂商贡献的GDP明细）、CPI、个人总收入厂商收入及政府收入、财政赤字及赤字扣分，以便老师对各国经济情况进行点评。需现场讲解以上指标数据来源及计算方法，只要一个未讲解清楚即为无效应标。</w:t>
            </w:r>
          </w:p>
          <w:p w14:paraId="4A569CD7">
            <w:pPr>
              <w:widowControl/>
              <w:ind w:left="360"/>
              <w:jc w:val="left"/>
              <w:rPr>
                <w:rFonts w:ascii="宋体" w:hAnsi="宋体" w:eastAsia="宋体" w:cs="宋体"/>
                <w:szCs w:val="21"/>
              </w:rPr>
            </w:pPr>
            <w:r>
              <w:rPr>
                <w:rFonts w:hint="eastAsia" w:ascii="宋体" w:hAnsi="宋体" w:eastAsia="宋体" w:cs="宋体"/>
                <w:szCs w:val="21"/>
              </w:rPr>
              <w:t>★【教学评分】老师在建班时可设置宏观经济指标得分按达到各国政府实现竞选指标得分，还是按国家之间宏观经济指标排名得分；未当选政府小组按经济预测得分。需现场演示，如无以上功能，即为无效应标。</w:t>
            </w:r>
          </w:p>
          <w:p w14:paraId="000B1BF4">
            <w:pPr>
              <w:keepNext/>
              <w:keepLines/>
              <w:numPr>
                <w:ilvl w:val="0"/>
                <w:numId w:val="21"/>
              </w:numPr>
              <w:spacing w:before="120" w:after="120"/>
              <w:ind w:left="1202"/>
              <w:outlineLvl w:val="1"/>
              <w:rPr>
                <w:rFonts w:ascii="宋体" w:hAnsi="宋体" w:eastAsia="宋体" w:cs="宋体"/>
                <w:b/>
                <w:bCs/>
                <w:szCs w:val="21"/>
              </w:rPr>
            </w:pPr>
            <w:r>
              <w:rPr>
                <w:rFonts w:hint="eastAsia" w:ascii="宋体" w:hAnsi="宋体" w:eastAsia="宋体" w:cs="宋体"/>
                <w:b/>
                <w:bCs/>
                <w:szCs w:val="21"/>
              </w:rPr>
              <w:t>学生端功能</w:t>
            </w:r>
          </w:p>
          <w:p w14:paraId="0EF27894">
            <w:pPr>
              <w:ind w:firstLine="420" w:firstLineChars="200"/>
              <w:rPr>
                <w:rFonts w:ascii="宋体" w:hAnsi="宋体" w:eastAsia="宋体" w:cs="宋体"/>
                <w:szCs w:val="21"/>
              </w:rPr>
            </w:pPr>
            <w:r>
              <w:rPr>
                <w:rFonts w:hint="eastAsia" w:ascii="宋体" w:hAnsi="宋体" w:eastAsia="宋体" w:cs="宋体"/>
                <w:szCs w:val="21"/>
              </w:rPr>
              <w:t>学生端功能包括要素禀赋与比较优势，关税、非关税壁垒与贸易保护，汇率与国际收支平衡，需求、技术变化与国际贸易，规模经济、不完全竞争，国际要素流动与跨国直接投资，年终事宜等功能模块。</w:t>
            </w:r>
          </w:p>
          <w:p w14:paraId="794E3916">
            <w:pPr>
              <w:widowControl/>
              <w:ind w:left="360"/>
              <w:jc w:val="left"/>
              <w:rPr>
                <w:rFonts w:ascii="宋体" w:hAnsi="宋体" w:eastAsia="宋体" w:cs="宋体"/>
                <w:szCs w:val="21"/>
              </w:rPr>
            </w:pPr>
            <w:r>
              <w:rPr>
                <w:rFonts w:hint="eastAsia" w:ascii="宋体" w:hAnsi="宋体" w:eastAsia="宋体" w:cs="宋体"/>
                <w:szCs w:val="21"/>
              </w:rPr>
              <w:t>【要素禀赋与比较优势】可查看实验设置的国家数量、各国厂商数量和劳动力总量系数、决策历史、小组信息、制胜法宝、实时盘点、历史消息。劳动力总量系数越低的国家，越有可能拥有高档产品生产线，且生产线效率会随工资而升高。投标人需现场结合数据讲解劳动力系数如何影响工资、高档生产线。如无法讲解，即为无效应标。</w:t>
            </w:r>
          </w:p>
          <w:p w14:paraId="56EE210C">
            <w:pPr>
              <w:widowControl/>
              <w:ind w:left="360"/>
              <w:jc w:val="left"/>
              <w:rPr>
                <w:rFonts w:ascii="宋体" w:hAnsi="宋体" w:eastAsia="宋体" w:cs="宋体"/>
                <w:szCs w:val="21"/>
              </w:rPr>
            </w:pPr>
            <w:r>
              <w:rPr>
                <w:rFonts w:hint="eastAsia" w:ascii="宋体" w:hAnsi="宋体" w:eastAsia="宋体" w:cs="宋体"/>
                <w:szCs w:val="21"/>
              </w:rPr>
              <w:t>★【关税、非关税壁垒与贸易保护】出口商负担出口关税、进口商负担进口关税，各厂商可指向其他国家各厂商进行汽车、钢铁、铁精粉的进出口。如现场演示以上商品无法实现指向其他国家各厂商进行以上商品的进出口交易，并自动计算关税，即为无效应标。</w:t>
            </w:r>
          </w:p>
          <w:p w14:paraId="12222649">
            <w:pPr>
              <w:widowControl/>
              <w:ind w:left="360"/>
              <w:jc w:val="left"/>
              <w:rPr>
                <w:rFonts w:ascii="宋体" w:hAnsi="宋体" w:eastAsia="宋体" w:cs="宋体"/>
                <w:szCs w:val="21"/>
              </w:rPr>
            </w:pPr>
            <w:r>
              <w:rPr>
                <w:rFonts w:hint="eastAsia" w:ascii="宋体" w:hAnsi="宋体" w:eastAsia="宋体" w:cs="宋体"/>
                <w:szCs w:val="21"/>
              </w:rPr>
              <w:t>【汇率与国际收支平衡】当汇率会影响原料进出口、产成品进出口、进口生产线价格。还会影响跨国借贷的汇率损益。</w:t>
            </w:r>
          </w:p>
          <w:p w14:paraId="0B1727E1">
            <w:pPr>
              <w:widowControl/>
              <w:ind w:left="360"/>
              <w:jc w:val="left"/>
              <w:rPr>
                <w:rFonts w:ascii="宋体" w:hAnsi="宋体" w:eastAsia="宋体" w:cs="宋体"/>
                <w:szCs w:val="21"/>
              </w:rPr>
            </w:pPr>
            <w:r>
              <w:rPr>
                <w:rFonts w:hint="eastAsia" w:ascii="宋体" w:hAnsi="宋体" w:eastAsia="宋体" w:cs="宋体"/>
                <w:szCs w:val="21"/>
              </w:rPr>
              <w:t>★【需求、技术变化与国际贸易】各国厂商的高档和普通商品生产线，均可通过翻新技术改造，延长产品生命周期。各厂商可根据绝对优势与比较优势交易产品、合作生产。高档生产线可由劳动力系数较低的国家向劳动力系数较高的国家转移，实现技术的跨国流动。各厂商可参与高档、普通订单竞标，查看竞标结果，在竞标前可订单模拟。投标人要现场用订单数据模拟普通与高档汽车订单结果，且要现场模拟高档和普通生产线翻新改造后的产能变化、高档生产线在不同国家之间的交易。如无法现场数据模拟和现场讲解，即为无效应标。</w:t>
            </w:r>
          </w:p>
          <w:p w14:paraId="43CFC4BD">
            <w:pPr>
              <w:widowControl/>
              <w:ind w:left="360"/>
              <w:jc w:val="left"/>
              <w:rPr>
                <w:rFonts w:ascii="宋体" w:hAnsi="宋体" w:eastAsia="宋体" w:cs="宋体"/>
                <w:szCs w:val="21"/>
              </w:rPr>
            </w:pPr>
            <w:r>
              <w:rPr>
                <w:rFonts w:hint="eastAsia" w:ascii="宋体" w:hAnsi="宋体" w:eastAsia="宋体" w:cs="宋体"/>
                <w:szCs w:val="21"/>
              </w:rPr>
              <w:t>★【规模经济、不完全竞争】各国厂商可进行钢材采购、铁精粉竞标等操作并存在规模采购原料的经济优势。预定期货时，价格也更低。各厂商都可以跨行业建立生产线并进行生产，以防止不完全竞争。生产线每年折旧5%，产能亦每年递减5%。各生产线产能提升方式：劳动力投入数量增加、支付大额加班费、翻新改造。通过产能模拟可知每条高档和普通生产线的生产能力（边际产能递减）。如无法现场模拟规模采购折扣、跨行业建立生产线，及三种产能提升方式，即为无效应标。</w:t>
            </w:r>
          </w:p>
          <w:p w14:paraId="2CF0CE1A">
            <w:pPr>
              <w:widowControl/>
              <w:ind w:left="360"/>
              <w:jc w:val="left"/>
              <w:rPr>
                <w:rFonts w:ascii="宋体" w:hAnsi="宋体" w:eastAsia="宋体" w:cs="宋体"/>
                <w:szCs w:val="21"/>
              </w:rPr>
            </w:pPr>
            <w:r>
              <w:rPr>
                <w:rFonts w:hint="eastAsia" w:ascii="宋体" w:hAnsi="宋体" w:eastAsia="宋体" w:cs="宋体"/>
                <w:szCs w:val="21"/>
              </w:rPr>
              <w:t>【国际要素流动与跨国直接投资】各国厂商可以跨国借出、贷入资金。且投标人如无法现场进行商业贷款、劳动力的竞标模拟，或无法实现各厂商跨国借出或贷入资金，即为无效应标。</w:t>
            </w:r>
          </w:p>
          <w:p w14:paraId="0D4D0954">
            <w:pPr>
              <w:widowControl/>
              <w:ind w:left="360"/>
              <w:jc w:val="left"/>
              <w:rPr>
                <w:rFonts w:ascii="宋体" w:hAnsi="宋体" w:eastAsia="宋体" w:cs="宋体"/>
                <w:szCs w:val="21"/>
              </w:rPr>
            </w:pPr>
            <w:r>
              <w:rPr>
                <w:rFonts w:hint="eastAsia" w:ascii="宋体" w:hAnsi="宋体" w:eastAsia="宋体" w:cs="宋体"/>
                <w:szCs w:val="21"/>
              </w:rPr>
              <w:t>【绩效查看】各组可查看</w:t>
            </w:r>
            <w:r>
              <w:rPr>
                <w:rFonts w:hint="eastAsia" w:ascii="宋体" w:hAnsi="宋体" w:eastAsia="宋体" w:cs="宋体"/>
                <w:b/>
                <w:szCs w:val="21"/>
              </w:rPr>
              <w:t>本国和他国各组</w:t>
            </w:r>
            <w:r>
              <w:rPr>
                <w:rFonts w:hint="eastAsia" w:ascii="宋体" w:hAnsi="宋体" w:eastAsia="宋体" w:cs="宋体"/>
                <w:szCs w:val="21"/>
              </w:rPr>
              <w:t>的国际收支平衡情况，生产线翻新改造信息，原料及产成品信息，交付订单情况。经营结束查看系统自动生成的</w:t>
            </w:r>
            <w:r>
              <w:rPr>
                <w:rFonts w:hint="eastAsia" w:ascii="宋体" w:hAnsi="宋体" w:eastAsia="宋体" w:cs="宋体"/>
                <w:b/>
                <w:szCs w:val="21"/>
              </w:rPr>
              <w:t>各国各组</w:t>
            </w:r>
            <w:r>
              <w:rPr>
                <w:rFonts w:hint="eastAsia" w:ascii="宋体" w:hAnsi="宋体" w:eastAsia="宋体" w:cs="宋体"/>
                <w:szCs w:val="21"/>
              </w:rPr>
              <w:t>利润表、资产负债表，以分析自己当期经营情况。查看</w:t>
            </w:r>
            <w:r>
              <w:rPr>
                <w:rFonts w:hint="eastAsia" w:ascii="宋体" w:hAnsi="宋体" w:eastAsia="宋体" w:cs="宋体"/>
                <w:b/>
                <w:szCs w:val="21"/>
              </w:rPr>
              <w:t>各国</w:t>
            </w:r>
            <w:r>
              <w:rPr>
                <w:rFonts w:hint="eastAsia" w:ascii="宋体" w:hAnsi="宋体" w:eastAsia="宋体" w:cs="宋体"/>
                <w:szCs w:val="21"/>
              </w:rPr>
              <w:t>宏观经济数据统计结果，以及</w:t>
            </w:r>
            <w:r>
              <w:rPr>
                <w:rFonts w:hint="eastAsia" w:ascii="宋体" w:hAnsi="宋体" w:eastAsia="宋体" w:cs="宋体"/>
                <w:b/>
                <w:szCs w:val="21"/>
              </w:rPr>
              <w:t>各国各组</w:t>
            </w:r>
            <w:r>
              <w:rPr>
                <w:rFonts w:hint="eastAsia" w:ascii="宋体" w:hAnsi="宋体" w:eastAsia="宋体" w:cs="宋体"/>
                <w:szCs w:val="21"/>
              </w:rPr>
              <w:t>得分。</w:t>
            </w:r>
          </w:p>
          <w:p w14:paraId="347286B9">
            <w:pPr>
              <w:pStyle w:val="4"/>
              <w:spacing w:before="120" w:after="120" w:line="240" w:lineRule="auto"/>
              <w:jc w:val="left"/>
              <w:rPr>
                <w:rFonts w:ascii="宋体" w:hAnsi="宋体" w:eastAsia="宋体" w:cs="宋体"/>
                <w:sz w:val="21"/>
                <w:szCs w:val="21"/>
              </w:rPr>
            </w:pPr>
            <w:r>
              <w:rPr>
                <w:rFonts w:hint="eastAsia" w:ascii="宋体" w:hAnsi="宋体" w:eastAsia="宋体" w:cs="宋体"/>
                <w:sz w:val="21"/>
                <w:szCs w:val="21"/>
              </w:rPr>
              <w:t>三、制造商资质（以下条款作为投标评分加分项，每项10分，最多不超过50分）。</w:t>
            </w:r>
          </w:p>
          <w:p w14:paraId="3DFBE8D8">
            <w:pPr>
              <w:numPr>
                <w:ilvl w:val="0"/>
                <w:numId w:val="22"/>
              </w:numPr>
              <w:rPr>
                <w:rFonts w:ascii="宋体" w:hAnsi="宋体" w:eastAsia="宋体" w:cs="宋体"/>
                <w:szCs w:val="21"/>
              </w:rPr>
            </w:pPr>
            <w:r>
              <w:rPr>
                <w:rFonts w:hint="eastAsia" w:ascii="宋体" w:hAnsi="宋体" w:eastAsia="宋体" w:cs="宋体"/>
                <w:szCs w:val="21"/>
              </w:rPr>
              <w:t>软件有国家发明专利或实用新型专利。提供加盖制造商鲜章的专利证书复印件，且现场在中国及多国专利审查信息查询网站核查知识产权真伪。如专利属于个人所有，需同时提供专利所有人的身份证复印件。如非制造厂商投标，需提供加盖制造厂家鲜章的授权函原件。</w:t>
            </w:r>
          </w:p>
          <w:p w14:paraId="2B5DE74F">
            <w:pPr>
              <w:numPr>
                <w:ilvl w:val="0"/>
                <w:numId w:val="22"/>
              </w:numPr>
              <w:rPr>
                <w:rFonts w:ascii="宋体" w:hAnsi="宋体" w:eastAsia="宋体" w:cs="宋体"/>
                <w:szCs w:val="21"/>
              </w:rPr>
            </w:pPr>
            <w:r>
              <w:rPr>
                <w:rFonts w:hint="eastAsia" w:ascii="宋体" w:hAnsi="宋体" w:eastAsia="宋体" w:cs="宋体"/>
                <w:szCs w:val="21"/>
              </w:rPr>
              <w:t>原厂制造商股东具有高校背景，须提供加盖制造商鲜章的股东高校教师资格证和高级职称证明复印件。</w:t>
            </w:r>
          </w:p>
          <w:p w14:paraId="70DFDD7F">
            <w:pPr>
              <w:numPr>
                <w:ilvl w:val="0"/>
                <w:numId w:val="22"/>
              </w:numPr>
              <w:rPr>
                <w:rFonts w:ascii="宋体" w:hAnsi="宋体" w:eastAsia="宋体" w:cs="宋体"/>
                <w:szCs w:val="21"/>
              </w:rPr>
            </w:pPr>
            <w:r>
              <w:rPr>
                <w:rFonts w:hint="eastAsia" w:ascii="宋体" w:hAnsi="宋体" w:eastAsia="宋体" w:cs="宋体"/>
                <w:szCs w:val="21"/>
              </w:rPr>
              <w:t>原厂制造商为高新技术企业，须提供加盖制造商鲜章的高新技术企业证书复印件。</w:t>
            </w:r>
          </w:p>
          <w:p w14:paraId="3C568206">
            <w:pPr>
              <w:numPr>
                <w:ilvl w:val="0"/>
                <w:numId w:val="22"/>
              </w:numPr>
              <w:rPr>
                <w:rFonts w:ascii="宋体" w:hAnsi="宋体" w:eastAsia="宋体" w:cs="宋体"/>
                <w:szCs w:val="21"/>
              </w:rPr>
            </w:pPr>
            <w:r>
              <w:rPr>
                <w:rFonts w:hint="eastAsia" w:ascii="宋体" w:hAnsi="宋体" w:eastAsia="宋体" w:cs="宋体"/>
                <w:szCs w:val="21"/>
              </w:rPr>
              <w:t>原厂制造商被列为高等教育学会“校企合作，双百计划”典型案例。须提供加盖制造商鲜章的展板图片。</w:t>
            </w:r>
          </w:p>
        </w:tc>
      </w:tr>
      <w:tr w14:paraId="38E6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1929" w:type="dxa"/>
            <w:vAlign w:val="center"/>
          </w:tcPr>
          <w:p w14:paraId="0CB0BAB4">
            <w:pPr>
              <w:jc w:val="center"/>
              <w:rPr>
                <w:rFonts w:ascii="宋体" w:hAnsi="宋体" w:eastAsia="宋体" w:cs="宋体"/>
                <w:szCs w:val="21"/>
              </w:rPr>
            </w:pPr>
            <w:r>
              <w:rPr>
                <w:rFonts w:hint="eastAsia" w:ascii="宋体" w:hAnsi="宋体" w:eastAsia="宋体" w:cs="宋体"/>
                <w:szCs w:val="21"/>
              </w:rPr>
              <w:t>售后服务要求</w:t>
            </w:r>
          </w:p>
        </w:tc>
        <w:tc>
          <w:tcPr>
            <w:tcW w:w="7230" w:type="dxa"/>
            <w:gridSpan w:val="4"/>
            <w:vAlign w:val="center"/>
          </w:tcPr>
          <w:tbl>
            <w:tblPr>
              <w:tblStyle w:val="12"/>
              <w:tblW w:w="6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405"/>
              <w:gridCol w:w="4974"/>
            </w:tblGrid>
            <w:tr w14:paraId="2DD1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20" w:type="dxa"/>
                </w:tcPr>
                <w:p w14:paraId="233F7ACB">
                  <w:pPr>
                    <w:jc w:val="center"/>
                    <w:rPr>
                      <w:rFonts w:ascii="宋体" w:hAnsi="宋体" w:eastAsia="宋体" w:cs="宋体"/>
                      <w:b/>
                      <w:sz w:val="18"/>
                      <w:szCs w:val="18"/>
                    </w:rPr>
                  </w:pPr>
                  <w:r>
                    <w:rPr>
                      <w:rFonts w:hint="eastAsia" w:ascii="宋体" w:hAnsi="宋体" w:eastAsia="宋体" w:cs="宋体"/>
                      <w:b/>
                      <w:sz w:val="18"/>
                      <w:szCs w:val="18"/>
                    </w:rPr>
                    <w:t>序号</w:t>
                  </w:r>
                </w:p>
              </w:tc>
              <w:tc>
                <w:tcPr>
                  <w:tcW w:w="1405" w:type="dxa"/>
                </w:tcPr>
                <w:p w14:paraId="306C953A">
                  <w:pPr>
                    <w:ind w:right="-174" w:rightChars="-83"/>
                    <w:jc w:val="center"/>
                    <w:rPr>
                      <w:rFonts w:ascii="宋体" w:hAnsi="宋体" w:eastAsia="宋体" w:cs="宋体"/>
                      <w:b/>
                      <w:sz w:val="18"/>
                      <w:szCs w:val="18"/>
                    </w:rPr>
                  </w:pPr>
                  <w:r>
                    <w:rPr>
                      <w:rFonts w:hint="eastAsia" w:ascii="宋体" w:hAnsi="宋体" w:eastAsia="宋体" w:cs="宋体"/>
                      <w:b/>
                      <w:sz w:val="18"/>
                      <w:szCs w:val="18"/>
                    </w:rPr>
                    <w:t>服务类别</w:t>
                  </w:r>
                </w:p>
              </w:tc>
              <w:tc>
                <w:tcPr>
                  <w:tcW w:w="4974" w:type="dxa"/>
                </w:tcPr>
                <w:p w14:paraId="3F56E111">
                  <w:pPr>
                    <w:jc w:val="center"/>
                    <w:rPr>
                      <w:rFonts w:ascii="宋体" w:hAnsi="宋体" w:eastAsia="宋体" w:cs="宋体"/>
                      <w:b/>
                      <w:sz w:val="18"/>
                      <w:szCs w:val="18"/>
                    </w:rPr>
                  </w:pPr>
                  <w:r>
                    <w:rPr>
                      <w:rFonts w:hint="eastAsia" w:ascii="宋体" w:hAnsi="宋体" w:eastAsia="宋体" w:cs="宋体"/>
                      <w:b/>
                      <w:sz w:val="18"/>
                      <w:szCs w:val="18"/>
                    </w:rPr>
                    <w:t>服务内容</w:t>
                  </w:r>
                </w:p>
              </w:tc>
            </w:tr>
            <w:tr w14:paraId="055D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999" w:type="dxa"/>
                  <w:gridSpan w:val="3"/>
                </w:tcPr>
                <w:p w14:paraId="7CC7A9A2">
                  <w:pPr>
                    <w:rPr>
                      <w:rFonts w:ascii="宋体" w:hAnsi="宋体" w:eastAsia="宋体" w:cs="宋体"/>
                      <w:b/>
                      <w:sz w:val="18"/>
                      <w:szCs w:val="18"/>
                    </w:rPr>
                  </w:pPr>
                  <w:r>
                    <w:rPr>
                      <w:rFonts w:hint="eastAsia" w:ascii="宋体" w:hAnsi="宋体" w:eastAsia="宋体" w:cs="宋体"/>
                      <w:b/>
                      <w:sz w:val="18"/>
                      <w:szCs w:val="18"/>
                    </w:rPr>
                    <w:t>标准服务</w:t>
                  </w:r>
                </w:p>
              </w:tc>
            </w:tr>
            <w:tr w14:paraId="546B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20" w:type="dxa"/>
                </w:tcPr>
                <w:p w14:paraId="30B8C23B">
                  <w:pPr>
                    <w:jc w:val="center"/>
                    <w:rPr>
                      <w:rFonts w:ascii="宋体" w:hAnsi="宋体" w:eastAsia="宋体" w:cs="宋体"/>
                      <w:sz w:val="18"/>
                      <w:szCs w:val="18"/>
                    </w:rPr>
                  </w:pPr>
                  <w:r>
                    <w:rPr>
                      <w:rFonts w:hint="eastAsia" w:ascii="宋体" w:hAnsi="宋体" w:eastAsia="宋体" w:cs="宋体"/>
                      <w:sz w:val="18"/>
                      <w:szCs w:val="18"/>
                    </w:rPr>
                    <w:t>1</w:t>
                  </w:r>
                </w:p>
              </w:tc>
              <w:tc>
                <w:tcPr>
                  <w:tcW w:w="1405" w:type="dxa"/>
                </w:tcPr>
                <w:p w14:paraId="194219BC">
                  <w:pPr>
                    <w:rPr>
                      <w:rFonts w:ascii="宋体" w:hAnsi="宋体" w:eastAsia="宋体" w:cs="宋体"/>
                      <w:sz w:val="18"/>
                      <w:szCs w:val="18"/>
                    </w:rPr>
                  </w:pPr>
                  <w:r>
                    <w:rPr>
                      <w:rFonts w:hint="eastAsia" w:ascii="宋体" w:hAnsi="宋体" w:eastAsia="宋体" w:cs="宋体"/>
                      <w:sz w:val="18"/>
                      <w:szCs w:val="18"/>
                    </w:rPr>
                    <w:t>培训服务</w:t>
                  </w:r>
                </w:p>
              </w:tc>
              <w:tc>
                <w:tcPr>
                  <w:tcW w:w="4974" w:type="dxa"/>
                </w:tcPr>
                <w:p w14:paraId="1737F47F">
                  <w:pPr>
                    <w:rPr>
                      <w:rFonts w:ascii="宋体" w:hAnsi="宋体" w:eastAsia="宋体" w:cs="宋体"/>
                      <w:sz w:val="18"/>
                      <w:szCs w:val="18"/>
                    </w:rPr>
                  </w:pPr>
                  <w:r>
                    <w:rPr>
                      <w:rFonts w:hint="eastAsia" w:ascii="宋体" w:hAnsi="宋体" w:eastAsia="宋体" w:cs="宋体"/>
                      <w:sz w:val="18"/>
                      <w:szCs w:val="18"/>
                    </w:rPr>
                    <w:t>向校方免费提供产品交付培训服务一次。</w:t>
                  </w:r>
                </w:p>
              </w:tc>
            </w:tr>
            <w:tr w14:paraId="2256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20" w:type="dxa"/>
                </w:tcPr>
                <w:p w14:paraId="70DFDE29">
                  <w:pPr>
                    <w:jc w:val="center"/>
                    <w:rPr>
                      <w:rFonts w:ascii="宋体" w:hAnsi="宋体" w:eastAsia="宋体" w:cs="宋体"/>
                      <w:sz w:val="18"/>
                      <w:szCs w:val="18"/>
                    </w:rPr>
                  </w:pPr>
                  <w:r>
                    <w:rPr>
                      <w:rFonts w:hint="eastAsia" w:ascii="宋体" w:hAnsi="宋体" w:eastAsia="宋体" w:cs="宋体"/>
                      <w:sz w:val="18"/>
                      <w:szCs w:val="18"/>
                    </w:rPr>
                    <w:t>2</w:t>
                  </w:r>
                </w:p>
              </w:tc>
              <w:tc>
                <w:tcPr>
                  <w:tcW w:w="1405" w:type="dxa"/>
                </w:tcPr>
                <w:p w14:paraId="7E1A8099">
                  <w:pPr>
                    <w:rPr>
                      <w:rFonts w:ascii="宋体" w:hAnsi="宋体" w:eastAsia="宋体" w:cs="宋体"/>
                      <w:sz w:val="18"/>
                      <w:szCs w:val="18"/>
                    </w:rPr>
                  </w:pPr>
                  <w:r>
                    <w:rPr>
                      <w:rFonts w:hint="eastAsia" w:ascii="宋体" w:hAnsi="宋体" w:eastAsia="宋体" w:cs="宋体"/>
                      <w:sz w:val="18"/>
                      <w:szCs w:val="18"/>
                    </w:rPr>
                    <w:t>软件安装调试服务</w:t>
                  </w:r>
                </w:p>
              </w:tc>
              <w:tc>
                <w:tcPr>
                  <w:tcW w:w="4974" w:type="dxa"/>
                </w:tcPr>
                <w:p w14:paraId="2ABC783E">
                  <w:pPr>
                    <w:rPr>
                      <w:rFonts w:ascii="宋体" w:hAnsi="宋体" w:eastAsia="宋体" w:cs="宋体"/>
                      <w:sz w:val="18"/>
                      <w:szCs w:val="18"/>
                    </w:rPr>
                  </w:pPr>
                  <w:r>
                    <w:rPr>
                      <w:rFonts w:hint="eastAsia" w:ascii="宋体" w:hAnsi="宋体" w:eastAsia="宋体" w:cs="宋体"/>
                      <w:sz w:val="18"/>
                      <w:szCs w:val="18"/>
                    </w:rPr>
                    <w:t>负责对软件的安装调试，保证校方能正常</w:t>
                  </w:r>
                  <w:bookmarkStart w:id="11" w:name="_GoBack"/>
                  <w:r>
                    <w:rPr>
                      <w:rFonts w:hint="eastAsia" w:ascii="宋体" w:hAnsi="宋体" w:eastAsia="宋体" w:cs="宋体"/>
                      <w:sz w:val="18"/>
                      <w:szCs w:val="18"/>
                    </w:rPr>
                    <w:t>的</w:t>
                  </w:r>
                  <w:bookmarkEnd w:id="11"/>
                  <w:r>
                    <w:rPr>
                      <w:rFonts w:hint="eastAsia" w:ascii="宋体" w:hAnsi="宋体" w:eastAsia="宋体" w:cs="宋体"/>
                      <w:sz w:val="18"/>
                      <w:szCs w:val="18"/>
                    </w:rPr>
                    <w:t>使用软件和教学。</w:t>
                  </w:r>
                </w:p>
              </w:tc>
            </w:tr>
            <w:tr w14:paraId="256D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620" w:type="dxa"/>
                </w:tcPr>
                <w:p w14:paraId="5B4D774F">
                  <w:pPr>
                    <w:jc w:val="center"/>
                    <w:rPr>
                      <w:rFonts w:ascii="宋体" w:hAnsi="宋体" w:eastAsia="宋体" w:cs="宋体"/>
                      <w:sz w:val="18"/>
                      <w:szCs w:val="18"/>
                    </w:rPr>
                  </w:pPr>
                  <w:r>
                    <w:rPr>
                      <w:rFonts w:hint="eastAsia" w:ascii="宋体" w:hAnsi="宋体" w:eastAsia="宋体" w:cs="宋体"/>
                      <w:sz w:val="18"/>
                      <w:szCs w:val="18"/>
                    </w:rPr>
                    <w:t>3</w:t>
                  </w:r>
                </w:p>
              </w:tc>
              <w:tc>
                <w:tcPr>
                  <w:tcW w:w="1405" w:type="dxa"/>
                </w:tcPr>
                <w:p w14:paraId="66A0B356">
                  <w:pPr>
                    <w:rPr>
                      <w:rFonts w:ascii="宋体" w:hAnsi="宋体" w:eastAsia="宋体" w:cs="宋体"/>
                      <w:sz w:val="18"/>
                      <w:szCs w:val="18"/>
                    </w:rPr>
                  </w:pPr>
                  <w:r>
                    <w:rPr>
                      <w:rFonts w:hint="eastAsia" w:ascii="宋体" w:hAnsi="宋体" w:eastAsia="宋体" w:cs="宋体"/>
                      <w:sz w:val="18"/>
                      <w:szCs w:val="18"/>
                    </w:rPr>
                    <w:t>产品升级服务</w:t>
                  </w:r>
                </w:p>
              </w:tc>
              <w:tc>
                <w:tcPr>
                  <w:tcW w:w="4974" w:type="dxa"/>
                </w:tcPr>
                <w:p w14:paraId="3313D9EE">
                  <w:pPr>
                    <w:rPr>
                      <w:rFonts w:ascii="宋体" w:hAnsi="宋体" w:eastAsia="宋体" w:cs="宋体"/>
                      <w:sz w:val="18"/>
                      <w:szCs w:val="18"/>
                    </w:rPr>
                  </w:pPr>
                  <w:r>
                    <w:rPr>
                      <w:rFonts w:hint="eastAsia" w:ascii="宋体" w:hAnsi="宋体" w:eastAsia="宋体" w:cs="宋体"/>
                      <w:sz w:val="18"/>
                      <w:szCs w:val="18"/>
                    </w:rPr>
                    <w:t>3年内为校方及时免费提供产品升级服务，为校方安装调试软件升级版本和功能工具包，对校方师资人员进行产品升级指导培训。</w:t>
                  </w:r>
                </w:p>
              </w:tc>
            </w:tr>
            <w:tr w14:paraId="6A51A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620" w:type="dxa"/>
                </w:tcPr>
                <w:p w14:paraId="6E0E9F37">
                  <w:pPr>
                    <w:jc w:val="center"/>
                    <w:rPr>
                      <w:rFonts w:ascii="宋体" w:hAnsi="宋体" w:eastAsia="宋体" w:cs="宋体"/>
                      <w:sz w:val="18"/>
                      <w:szCs w:val="18"/>
                    </w:rPr>
                  </w:pPr>
                  <w:r>
                    <w:rPr>
                      <w:rFonts w:hint="eastAsia" w:ascii="宋体" w:hAnsi="宋体" w:eastAsia="宋体" w:cs="宋体"/>
                      <w:sz w:val="18"/>
                      <w:szCs w:val="18"/>
                    </w:rPr>
                    <w:t>4</w:t>
                  </w:r>
                </w:p>
              </w:tc>
              <w:tc>
                <w:tcPr>
                  <w:tcW w:w="1405" w:type="dxa"/>
                </w:tcPr>
                <w:p w14:paraId="07617EB6">
                  <w:pPr>
                    <w:rPr>
                      <w:rFonts w:ascii="宋体" w:hAnsi="宋体" w:eastAsia="宋体" w:cs="宋体"/>
                      <w:sz w:val="18"/>
                      <w:szCs w:val="18"/>
                    </w:rPr>
                  </w:pPr>
                  <w:r>
                    <w:rPr>
                      <w:rFonts w:hint="eastAsia" w:ascii="宋体" w:hAnsi="宋体" w:eastAsia="宋体" w:cs="宋体"/>
                      <w:sz w:val="18"/>
                      <w:szCs w:val="18"/>
                    </w:rPr>
                    <w:t>日常技术支持服务</w:t>
                  </w:r>
                </w:p>
              </w:tc>
              <w:tc>
                <w:tcPr>
                  <w:tcW w:w="4974" w:type="dxa"/>
                </w:tcPr>
                <w:p w14:paraId="607432B8">
                  <w:pPr>
                    <w:rPr>
                      <w:rFonts w:ascii="宋体" w:hAnsi="宋体" w:eastAsia="宋体" w:cs="宋体"/>
                      <w:sz w:val="18"/>
                      <w:szCs w:val="18"/>
                    </w:rPr>
                  </w:pPr>
                  <w:r>
                    <w:rPr>
                      <w:rFonts w:hint="eastAsia" w:ascii="宋体" w:hAnsi="宋体" w:eastAsia="宋体" w:cs="宋体"/>
                      <w:sz w:val="18"/>
                      <w:szCs w:val="18"/>
                    </w:rPr>
                    <w:t>在校方日常教学使用软件过程中，为其提供及时的</w:t>
                  </w:r>
                  <w:r>
                    <w:rPr>
                      <w:rFonts w:hint="eastAsia" w:ascii="宋体" w:hAnsi="宋体" w:eastAsia="宋体" w:cs="宋体"/>
                      <w:sz w:val="18"/>
                      <w:szCs w:val="18"/>
                      <w:lang w:val="de-DE"/>
                    </w:rPr>
                    <w:t xml:space="preserve">INTERNET </w:t>
                  </w:r>
                  <w:r>
                    <w:rPr>
                      <w:rFonts w:hint="eastAsia" w:ascii="宋体" w:hAnsi="宋体" w:eastAsia="宋体" w:cs="宋体"/>
                      <w:sz w:val="18"/>
                      <w:szCs w:val="18"/>
                    </w:rPr>
                    <w:t>网络服务、资讯服务、热线支持等服务。</w:t>
                  </w:r>
                </w:p>
              </w:tc>
            </w:tr>
            <w:tr w14:paraId="0C6C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620" w:type="dxa"/>
                </w:tcPr>
                <w:p w14:paraId="061503A0">
                  <w:pPr>
                    <w:jc w:val="center"/>
                    <w:rPr>
                      <w:rFonts w:ascii="宋体" w:hAnsi="宋体" w:eastAsia="宋体" w:cs="宋体"/>
                      <w:sz w:val="18"/>
                      <w:szCs w:val="18"/>
                    </w:rPr>
                  </w:pPr>
                  <w:r>
                    <w:rPr>
                      <w:rFonts w:hint="eastAsia" w:ascii="宋体" w:hAnsi="宋体" w:eastAsia="宋体" w:cs="宋体"/>
                      <w:sz w:val="18"/>
                      <w:szCs w:val="18"/>
                    </w:rPr>
                    <w:t>5</w:t>
                  </w:r>
                </w:p>
              </w:tc>
              <w:tc>
                <w:tcPr>
                  <w:tcW w:w="1405" w:type="dxa"/>
                </w:tcPr>
                <w:p w14:paraId="67CBBF17">
                  <w:pPr>
                    <w:rPr>
                      <w:rFonts w:ascii="宋体" w:hAnsi="宋体" w:eastAsia="宋体" w:cs="宋体"/>
                      <w:sz w:val="18"/>
                      <w:szCs w:val="18"/>
                    </w:rPr>
                  </w:pPr>
                  <w:r>
                    <w:rPr>
                      <w:rFonts w:hint="eastAsia" w:ascii="宋体" w:hAnsi="宋体" w:eastAsia="宋体" w:cs="宋体"/>
                      <w:sz w:val="18"/>
                      <w:szCs w:val="18"/>
                    </w:rPr>
                    <w:t>教学指导服务</w:t>
                  </w:r>
                </w:p>
              </w:tc>
              <w:tc>
                <w:tcPr>
                  <w:tcW w:w="4974" w:type="dxa"/>
                </w:tcPr>
                <w:p w14:paraId="5886DDA2">
                  <w:pPr>
                    <w:rPr>
                      <w:rFonts w:ascii="宋体" w:hAnsi="宋体" w:eastAsia="宋体" w:cs="宋体"/>
                      <w:bCs/>
                      <w:sz w:val="18"/>
                      <w:szCs w:val="18"/>
                    </w:rPr>
                  </w:pPr>
                  <w:r>
                    <w:rPr>
                      <w:rFonts w:hint="eastAsia" w:ascii="宋体" w:hAnsi="宋体" w:eastAsia="宋体" w:cs="宋体"/>
                      <w:bCs/>
                      <w:sz w:val="18"/>
                      <w:szCs w:val="18"/>
                    </w:rPr>
                    <w:t>向校方免费提供与教学相关的教学资料一套。</w:t>
                  </w:r>
                </w:p>
                <w:tbl>
                  <w:tblPr>
                    <w:tblStyle w:val="12"/>
                    <w:tblW w:w="4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2"/>
                    <w:gridCol w:w="1197"/>
                  </w:tblGrid>
                  <w:tr w14:paraId="0986F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62" w:type="dxa"/>
                      </w:tcPr>
                      <w:p w14:paraId="04694B0F">
                        <w:pPr>
                          <w:ind w:firstLine="562"/>
                          <w:jc w:val="center"/>
                          <w:rPr>
                            <w:rFonts w:ascii="宋体" w:hAnsi="宋体" w:eastAsia="宋体" w:cs="宋体"/>
                            <w:b/>
                            <w:sz w:val="18"/>
                            <w:szCs w:val="18"/>
                          </w:rPr>
                        </w:pPr>
                        <w:r>
                          <w:rPr>
                            <w:rFonts w:hint="eastAsia" w:ascii="宋体" w:hAnsi="宋体" w:eastAsia="宋体" w:cs="宋体"/>
                            <w:b/>
                            <w:sz w:val="18"/>
                            <w:szCs w:val="18"/>
                          </w:rPr>
                          <w:t>名称（数量均为1件）</w:t>
                        </w:r>
                      </w:p>
                    </w:tc>
                    <w:tc>
                      <w:tcPr>
                        <w:tcW w:w="1197" w:type="dxa"/>
                      </w:tcPr>
                      <w:p w14:paraId="75FAC930">
                        <w:pPr>
                          <w:rPr>
                            <w:rFonts w:ascii="宋体" w:hAnsi="宋体" w:eastAsia="宋体" w:cs="宋体"/>
                            <w:b/>
                            <w:sz w:val="18"/>
                            <w:szCs w:val="18"/>
                          </w:rPr>
                        </w:pPr>
                        <w:r>
                          <w:rPr>
                            <w:rFonts w:hint="eastAsia" w:ascii="宋体" w:hAnsi="宋体" w:eastAsia="宋体" w:cs="宋体"/>
                            <w:b/>
                            <w:sz w:val="18"/>
                            <w:szCs w:val="18"/>
                          </w:rPr>
                          <w:t>格式</w:t>
                        </w:r>
                      </w:p>
                    </w:tc>
                  </w:tr>
                  <w:tr w14:paraId="66D5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62" w:type="dxa"/>
                      </w:tcPr>
                      <w:p w14:paraId="59EC0B5D">
                        <w:pPr>
                          <w:rPr>
                            <w:rFonts w:ascii="宋体" w:hAnsi="宋体" w:eastAsia="宋体" w:cs="宋体"/>
                            <w:sz w:val="18"/>
                            <w:szCs w:val="18"/>
                          </w:rPr>
                        </w:pPr>
                        <w:r>
                          <w:rPr>
                            <w:rFonts w:hint="eastAsia" w:ascii="宋体" w:hAnsi="宋体" w:eastAsia="宋体" w:cs="宋体"/>
                            <w:sz w:val="18"/>
                            <w:szCs w:val="18"/>
                          </w:rPr>
                          <w:t>《国际经济学综合仿真系统课程授课讲义》</w:t>
                        </w:r>
                      </w:p>
                    </w:tc>
                    <w:tc>
                      <w:tcPr>
                        <w:tcW w:w="1197" w:type="dxa"/>
                      </w:tcPr>
                      <w:p w14:paraId="01A36686">
                        <w:pPr>
                          <w:rPr>
                            <w:rFonts w:ascii="宋体" w:hAnsi="宋体" w:eastAsia="宋体" w:cs="宋体"/>
                            <w:sz w:val="18"/>
                            <w:szCs w:val="18"/>
                          </w:rPr>
                        </w:pPr>
                        <w:r>
                          <w:rPr>
                            <w:rFonts w:hint="eastAsia" w:ascii="宋体" w:hAnsi="宋体" w:eastAsia="宋体" w:cs="宋体"/>
                            <w:sz w:val="18"/>
                            <w:szCs w:val="18"/>
                          </w:rPr>
                          <w:t>PPT</w:t>
                        </w:r>
                      </w:p>
                    </w:tc>
                  </w:tr>
                  <w:tr w14:paraId="08D3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62" w:type="dxa"/>
                      </w:tcPr>
                      <w:p w14:paraId="1DED985E">
                        <w:pPr>
                          <w:rPr>
                            <w:rFonts w:ascii="宋体" w:hAnsi="宋体" w:eastAsia="宋体" w:cs="宋体"/>
                            <w:sz w:val="18"/>
                            <w:szCs w:val="18"/>
                          </w:rPr>
                        </w:pPr>
                        <w:r>
                          <w:rPr>
                            <w:rFonts w:hint="eastAsia" w:ascii="宋体" w:hAnsi="宋体" w:eastAsia="宋体" w:cs="宋体"/>
                            <w:sz w:val="18"/>
                            <w:szCs w:val="18"/>
                          </w:rPr>
                          <w:t>《国际经济学综合仿真系统学员手册》</w:t>
                        </w:r>
                      </w:p>
                    </w:tc>
                    <w:tc>
                      <w:tcPr>
                        <w:tcW w:w="1197" w:type="dxa"/>
                      </w:tcPr>
                      <w:p w14:paraId="526EF5D7">
                        <w:pPr>
                          <w:rPr>
                            <w:rFonts w:ascii="宋体" w:hAnsi="宋体" w:eastAsia="宋体" w:cs="宋体"/>
                            <w:sz w:val="18"/>
                            <w:szCs w:val="18"/>
                          </w:rPr>
                        </w:pPr>
                        <w:r>
                          <w:rPr>
                            <w:rFonts w:hint="eastAsia" w:ascii="宋体" w:hAnsi="宋体" w:eastAsia="宋体" w:cs="宋体"/>
                            <w:sz w:val="18"/>
                            <w:szCs w:val="18"/>
                          </w:rPr>
                          <w:t>印刷版</w:t>
                        </w:r>
                      </w:p>
                    </w:tc>
                  </w:tr>
                  <w:tr w14:paraId="3987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3762" w:type="dxa"/>
                      </w:tcPr>
                      <w:p w14:paraId="558DD894">
                        <w:pPr>
                          <w:rPr>
                            <w:rFonts w:ascii="宋体" w:hAnsi="宋体" w:eastAsia="宋体" w:cs="宋体"/>
                            <w:sz w:val="18"/>
                            <w:szCs w:val="18"/>
                          </w:rPr>
                        </w:pPr>
                        <w:r>
                          <w:rPr>
                            <w:rFonts w:hint="eastAsia" w:ascii="宋体" w:hAnsi="宋体" w:eastAsia="宋体" w:cs="宋体"/>
                            <w:sz w:val="18"/>
                            <w:szCs w:val="18"/>
                          </w:rPr>
                          <w:t>《国际经济学综合仿真系统教师手册》</w:t>
                        </w:r>
                      </w:p>
                    </w:tc>
                    <w:tc>
                      <w:tcPr>
                        <w:tcW w:w="1197" w:type="dxa"/>
                      </w:tcPr>
                      <w:p w14:paraId="25B35231">
                        <w:pPr>
                          <w:rPr>
                            <w:rFonts w:ascii="宋体" w:hAnsi="宋体" w:eastAsia="宋体" w:cs="宋体"/>
                            <w:sz w:val="18"/>
                            <w:szCs w:val="18"/>
                          </w:rPr>
                        </w:pPr>
                        <w:r>
                          <w:rPr>
                            <w:rFonts w:hint="eastAsia" w:ascii="宋体" w:hAnsi="宋体" w:eastAsia="宋体" w:cs="宋体"/>
                            <w:sz w:val="18"/>
                            <w:szCs w:val="18"/>
                          </w:rPr>
                          <w:t>WORD电子版</w:t>
                        </w:r>
                      </w:p>
                    </w:tc>
                  </w:tr>
                </w:tbl>
                <w:p w14:paraId="1D79AFE0">
                  <w:pPr>
                    <w:rPr>
                      <w:rFonts w:ascii="宋体" w:hAnsi="宋体" w:eastAsia="宋体" w:cs="宋体"/>
                      <w:bCs/>
                      <w:sz w:val="18"/>
                      <w:szCs w:val="18"/>
                    </w:rPr>
                  </w:pPr>
                </w:p>
              </w:tc>
            </w:tr>
            <w:tr w14:paraId="3981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999" w:type="dxa"/>
                  <w:gridSpan w:val="3"/>
                </w:tcPr>
                <w:p w14:paraId="7E48FCA3">
                  <w:pPr>
                    <w:rPr>
                      <w:rFonts w:ascii="宋体" w:hAnsi="宋体" w:eastAsia="宋体" w:cs="宋体"/>
                      <w:b/>
                      <w:sz w:val="18"/>
                      <w:szCs w:val="18"/>
                    </w:rPr>
                  </w:pPr>
                  <w:r>
                    <w:rPr>
                      <w:rFonts w:hint="eastAsia" w:ascii="宋体" w:hAnsi="宋体" w:eastAsia="宋体" w:cs="宋体"/>
                      <w:b/>
                      <w:sz w:val="18"/>
                      <w:szCs w:val="18"/>
                    </w:rPr>
                    <w:t>增值服务</w:t>
                  </w:r>
                </w:p>
              </w:tc>
            </w:tr>
            <w:tr w14:paraId="4B5D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620" w:type="dxa"/>
                </w:tcPr>
                <w:p w14:paraId="66393E9E">
                  <w:pPr>
                    <w:jc w:val="center"/>
                    <w:rPr>
                      <w:rFonts w:ascii="宋体" w:hAnsi="宋体" w:eastAsia="宋体" w:cs="宋体"/>
                      <w:sz w:val="18"/>
                      <w:szCs w:val="18"/>
                    </w:rPr>
                  </w:pPr>
                  <w:r>
                    <w:rPr>
                      <w:rFonts w:hint="eastAsia" w:ascii="宋体" w:hAnsi="宋体" w:eastAsia="宋体" w:cs="宋体"/>
                      <w:sz w:val="18"/>
                      <w:szCs w:val="18"/>
                    </w:rPr>
                    <w:t>1</w:t>
                  </w:r>
                </w:p>
              </w:tc>
              <w:tc>
                <w:tcPr>
                  <w:tcW w:w="1405" w:type="dxa"/>
                </w:tcPr>
                <w:p w14:paraId="1F9D9098">
                  <w:pPr>
                    <w:rPr>
                      <w:rFonts w:ascii="宋体" w:hAnsi="宋体" w:eastAsia="宋体" w:cs="宋体"/>
                      <w:sz w:val="18"/>
                      <w:szCs w:val="18"/>
                    </w:rPr>
                  </w:pPr>
                  <w:r>
                    <w:rPr>
                      <w:rFonts w:hint="eastAsia" w:ascii="宋体" w:hAnsi="宋体" w:eastAsia="宋体" w:cs="宋体"/>
                      <w:sz w:val="18"/>
                      <w:szCs w:val="18"/>
                    </w:rPr>
                    <w:t>教材、课件合作</w:t>
                  </w:r>
                </w:p>
              </w:tc>
              <w:tc>
                <w:tcPr>
                  <w:tcW w:w="4974" w:type="dxa"/>
                </w:tcPr>
                <w:p w14:paraId="5103135C">
                  <w:pPr>
                    <w:rPr>
                      <w:rFonts w:ascii="宋体" w:hAnsi="宋体" w:eastAsia="宋体" w:cs="宋体"/>
                      <w:bCs/>
                      <w:sz w:val="18"/>
                      <w:szCs w:val="18"/>
                    </w:rPr>
                  </w:pPr>
                  <w:r>
                    <w:rPr>
                      <w:rFonts w:hint="eastAsia" w:ascii="宋体" w:hAnsi="宋体" w:eastAsia="宋体" w:cs="宋体"/>
                      <w:bCs/>
                      <w:sz w:val="18"/>
                      <w:szCs w:val="18"/>
                    </w:rPr>
                    <w:t>学校专任老师与公司产品专家、资深顾问等利用各自优势，合作编写适用的专用教材，满足教学需要。</w:t>
                  </w:r>
                </w:p>
              </w:tc>
            </w:tr>
            <w:tr w14:paraId="7D59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20" w:type="dxa"/>
                </w:tcPr>
                <w:p w14:paraId="53E6AA3B">
                  <w:pPr>
                    <w:jc w:val="center"/>
                    <w:rPr>
                      <w:rFonts w:ascii="宋体" w:hAnsi="宋体" w:eastAsia="宋体" w:cs="宋体"/>
                      <w:sz w:val="18"/>
                      <w:szCs w:val="18"/>
                    </w:rPr>
                  </w:pPr>
                  <w:r>
                    <w:rPr>
                      <w:rFonts w:hint="eastAsia" w:ascii="宋体" w:hAnsi="宋体" w:eastAsia="宋体" w:cs="宋体"/>
                      <w:sz w:val="18"/>
                      <w:szCs w:val="18"/>
                    </w:rPr>
                    <w:t>2</w:t>
                  </w:r>
                </w:p>
              </w:tc>
              <w:tc>
                <w:tcPr>
                  <w:tcW w:w="1405" w:type="dxa"/>
                </w:tcPr>
                <w:p w14:paraId="02D85BC4">
                  <w:pPr>
                    <w:rPr>
                      <w:rFonts w:ascii="宋体" w:hAnsi="宋体" w:eastAsia="宋体" w:cs="宋体"/>
                      <w:sz w:val="18"/>
                      <w:szCs w:val="18"/>
                    </w:rPr>
                  </w:pPr>
                  <w:r>
                    <w:rPr>
                      <w:rFonts w:hint="eastAsia" w:ascii="宋体" w:hAnsi="宋体" w:eastAsia="宋体" w:cs="宋体"/>
                      <w:sz w:val="18"/>
                      <w:szCs w:val="18"/>
                    </w:rPr>
                    <w:t>合作推广项目</w:t>
                  </w:r>
                </w:p>
              </w:tc>
              <w:tc>
                <w:tcPr>
                  <w:tcW w:w="4974" w:type="dxa"/>
                </w:tcPr>
                <w:p w14:paraId="3FC0874A">
                  <w:pPr>
                    <w:rPr>
                      <w:rFonts w:ascii="宋体" w:hAnsi="宋体" w:eastAsia="宋体" w:cs="宋体"/>
                      <w:sz w:val="18"/>
                      <w:szCs w:val="18"/>
                    </w:rPr>
                  </w:pPr>
                  <w:r>
                    <w:rPr>
                      <w:rFonts w:hint="eastAsia" w:ascii="宋体" w:hAnsi="宋体" w:eastAsia="宋体" w:cs="宋体"/>
                      <w:sz w:val="18"/>
                      <w:szCs w:val="18"/>
                    </w:rPr>
                    <w:t>双方合作举办大赛或师资培训班，收益共享。</w:t>
                  </w:r>
                </w:p>
              </w:tc>
            </w:tr>
            <w:tr w14:paraId="00BB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620" w:type="dxa"/>
                </w:tcPr>
                <w:p w14:paraId="68C32599">
                  <w:pPr>
                    <w:jc w:val="center"/>
                    <w:rPr>
                      <w:rFonts w:ascii="宋体" w:hAnsi="宋体" w:eastAsia="宋体" w:cs="宋体"/>
                      <w:sz w:val="18"/>
                      <w:szCs w:val="18"/>
                    </w:rPr>
                  </w:pPr>
                  <w:r>
                    <w:rPr>
                      <w:rFonts w:hint="eastAsia" w:ascii="宋体" w:hAnsi="宋体" w:eastAsia="宋体" w:cs="宋体"/>
                      <w:sz w:val="18"/>
                      <w:szCs w:val="18"/>
                    </w:rPr>
                    <w:t>3</w:t>
                  </w:r>
                </w:p>
              </w:tc>
              <w:tc>
                <w:tcPr>
                  <w:tcW w:w="1405" w:type="dxa"/>
                </w:tcPr>
                <w:p w14:paraId="4BA5C271">
                  <w:pPr>
                    <w:rPr>
                      <w:rFonts w:ascii="宋体" w:hAnsi="宋体" w:eastAsia="宋体" w:cs="宋体"/>
                      <w:sz w:val="18"/>
                      <w:szCs w:val="18"/>
                    </w:rPr>
                  </w:pPr>
                  <w:r>
                    <w:rPr>
                      <w:rFonts w:hint="eastAsia" w:ascii="宋体" w:hAnsi="宋体" w:eastAsia="宋体" w:cs="宋体"/>
                      <w:bCs/>
                      <w:sz w:val="18"/>
                      <w:szCs w:val="18"/>
                    </w:rPr>
                    <w:t>合作开发升级项目</w:t>
                  </w:r>
                </w:p>
              </w:tc>
              <w:tc>
                <w:tcPr>
                  <w:tcW w:w="4974" w:type="dxa"/>
                </w:tcPr>
                <w:p w14:paraId="1102287A">
                  <w:pPr>
                    <w:rPr>
                      <w:rFonts w:ascii="宋体" w:hAnsi="宋体" w:eastAsia="宋体" w:cs="宋体"/>
                      <w:sz w:val="18"/>
                      <w:szCs w:val="18"/>
                    </w:rPr>
                  </w:pPr>
                  <w:r>
                    <w:rPr>
                      <w:rFonts w:hint="eastAsia" w:ascii="宋体" w:hAnsi="宋体" w:eastAsia="宋体" w:cs="宋体"/>
                      <w:sz w:val="18"/>
                      <w:szCs w:val="18"/>
                    </w:rPr>
                    <w:t>高校理论研究成果应用于本产品研发及实施服务，不断丰富和升级本产品，收益共享。</w:t>
                  </w:r>
                </w:p>
              </w:tc>
            </w:tr>
            <w:tr w14:paraId="0B420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620" w:type="dxa"/>
                </w:tcPr>
                <w:p w14:paraId="6A817FFF">
                  <w:pPr>
                    <w:jc w:val="center"/>
                    <w:rPr>
                      <w:rFonts w:ascii="宋体" w:hAnsi="宋体" w:eastAsia="宋体" w:cs="宋体"/>
                      <w:sz w:val="18"/>
                      <w:szCs w:val="18"/>
                    </w:rPr>
                  </w:pPr>
                  <w:r>
                    <w:rPr>
                      <w:rFonts w:hint="eastAsia" w:ascii="宋体" w:hAnsi="宋体" w:eastAsia="宋体" w:cs="宋体"/>
                      <w:sz w:val="18"/>
                      <w:szCs w:val="18"/>
                    </w:rPr>
                    <w:t>4</w:t>
                  </w:r>
                </w:p>
              </w:tc>
              <w:tc>
                <w:tcPr>
                  <w:tcW w:w="1405" w:type="dxa"/>
                </w:tcPr>
                <w:p w14:paraId="4CFE7D4B">
                  <w:pPr>
                    <w:rPr>
                      <w:rFonts w:ascii="宋体" w:hAnsi="宋体" w:eastAsia="宋体" w:cs="宋体"/>
                      <w:sz w:val="18"/>
                      <w:szCs w:val="18"/>
                    </w:rPr>
                  </w:pPr>
                  <w:r>
                    <w:rPr>
                      <w:rFonts w:hint="eastAsia" w:ascii="宋体" w:hAnsi="宋体" w:eastAsia="宋体" w:cs="宋体"/>
                      <w:sz w:val="18"/>
                      <w:szCs w:val="18"/>
                    </w:rPr>
                    <w:t>讲师外聘</w:t>
                  </w:r>
                </w:p>
              </w:tc>
              <w:tc>
                <w:tcPr>
                  <w:tcW w:w="4974" w:type="dxa"/>
                </w:tcPr>
                <w:p w14:paraId="05C4E739">
                  <w:pPr>
                    <w:rPr>
                      <w:rFonts w:ascii="宋体" w:hAnsi="宋体" w:eastAsia="宋体" w:cs="宋体"/>
                      <w:sz w:val="18"/>
                      <w:szCs w:val="18"/>
                    </w:rPr>
                  </w:pPr>
                  <w:r>
                    <w:rPr>
                      <w:rFonts w:hint="eastAsia" w:ascii="宋体" w:hAnsi="宋体" w:eastAsia="宋体" w:cs="宋体"/>
                      <w:sz w:val="18"/>
                      <w:szCs w:val="18"/>
                    </w:rPr>
                    <w:t>院校优秀讲师以及本产品实验教学应用领域有精深造诣者，可以获得本公司外聘讲师资格证书，以专家学者身份于全国高校作公开巡讲，并获得资金支持。</w:t>
                  </w:r>
                </w:p>
              </w:tc>
            </w:tr>
            <w:tr w14:paraId="5718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620" w:type="dxa"/>
                </w:tcPr>
                <w:p w14:paraId="2DFEC6FA">
                  <w:pPr>
                    <w:jc w:val="center"/>
                    <w:rPr>
                      <w:rFonts w:ascii="宋体" w:hAnsi="宋体" w:eastAsia="宋体" w:cs="宋体"/>
                      <w:sz w:val="18"/>
                      <w:szCs w:val="18"/>
                    </w:rPr>
                  </w:pPr>
                  <w:r>
                    <w:rPr>
                      <w:rFonts w:hint="eastAsia" w:ascii="宋体" w:hAnsi="宋体" w:eastAsia="宋体" w:cs="宋体"/>
                      <w:sz w:val="18"/>
                      <w:szCs w:val="18"/>
                    </w:rPr>
                    <w:t>5</w:t>
                  </w:r>
                </w:p>
              </w:tc>
              <w:tc>
                <w:tcPr>
                  <w:tcW w:w="1405" w:type="dxa"/>
                </w:tcPr>
                <w:p w14:paraId="6B662973">
                  <w:pPr>
                    <w:rPr>
                      <w:rFonts w:ascii="宋体" w:hAnsi="宋体" w:eastAsia="宋体" w:cs="宋体"/>
                      <w:sz w:val="18"/>
                      <w:szCs w:val="18"/>
                    </w:rPr>
                  </w:pPr>
                  <w:r>
                    <w:rPr>
                      <w:rFonts w:hint="eastAsia" w:ascii="宋体" w:hAnsi="宋体" w:eastAsia="宋体" w:cs="宋体"/>
                      <w:bCs/>
                      <w:sz w:val="18"/>
                      <w:szCs w:val="18"/>
                    </w:rPr>
                    <w:t>市场活动合作</w:t>
                  </w:r>
                </w:p>
              </w:tc>
              <w:tc>
                <w:tcPr>
                  <w:tcW w:w="4974" w:type="dxa"/>
                </w:tcPr>
                <w:p w14:paraId="76F738AA">
                  <w:pPr>
                    <w:rPr>
                      <w:rFonts w:ascii="宋体" w:hAnsi="宋体" w:eastAsia="宋体" w:cs="宋体"/>
                      <w:sz w:val="18"/>
                      <w:szCs w:val="18"/>
                    </w:rPr>
                  </w:pPr>
                  <w:r>
                    <w:rPr>
                      <w:rFonts w:hint="eastAsia" w:ascii="宋体" w:hAnsi="宋体" w:eastAsia="宋体" w:cs="宋体"/>
                      <w:sz w:val="18"/>
                      <w:szCs w:val="18"/>
                    </w:rPr>
                    <w:t>积极承办一些有影响的论坛、年会性质的活动，共赢市场效益。</w:t>
                  </w:r>
                </w:p>
              </w:tc>
            </w:tr>
          </w:tbl>
          <w:p w14:paraId="153F0C94">
            <w:pPr>
              <w:jc w:val="center"/>
              <w:rPr>
                <w:rFonts w:ascii="宋体" w:hAnsi="宋体" w:eastAsia="宋体" w:cs="宋体"/>
                <w:szCs w:val="21"/>
              </w:rPr>
            </w:pPr>
          </w:p>
        </w:tc>
      </w:tr>
      <w:tr w14:paraId="081D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3" w:hRule="atLeast"/>
          <w:jc w:val="center"/>
        </w:trPr>
        <w:tc>
          <w:tcPr>
            <w:tcW w:w="1929" w:type="dxa"/>
            <w:vAlign w:val="center"/>
          </w:tcPr>
          <w:p w14:paraId="0317FFD9">
            <w:pPr>
              <w:jc w:val="center"/>
              <w:rPr>
                <w:rFonts w:ascii="宋体" w:hAnsi="宋体" w:eastAsia="宋体" w:cs="宋体"/>
                <w:szCs w:val="21"/>
              </w:rPr>
            </w:pPr>
            <w:r>
              <w:rPr>
                <w:rFonts w:hint="eastAsia" w:ascii="宋体" w:hAnsi="宋体" w:eastAsia="宋体" w:cs="宋体"/>
                <w:szCs w:val="21"/>
              </w:rPr>
              <w:t>备  注</w:t>
            </w:r>
          </w:p>
        </w:tc>
        <w:tc>
          <w:tcPr>
            <w:tcW w:w="7230" w:type="dxa"/>
            <w:gridSpan w:val="4"/>
            <w:vAlign w:val="center"/>
          </w:tcPr>
          <w:p w14:paraId="1F82BFA5">
            <w:pPr>
              <w:ind w:firstLine="420" w:firstLineChars="200"/>
              <w:jc w:val="center"/>
            </w:pPr>
            <w:r>
              <w:rPr>
                <w:rFonts w:hint="eastAsia"/>
              </w:rPr>
              <w:t>提供不少于三家的国内外厂商同类型同档次产品参数（必填）、价格（必填）、联系方式（必填）、资质证书、类似业绩等（如确实有特殊情况，无法提供三家参数的，须提供特殊说明）：</w:t>
            </w:r>
          </w:p>
          <w:p w14:paraId="060D0239">
            <w:pPr>
              <w:jc w:val="center"/>
            </w:pPr>
            <w:r>
              <w:rPr>
                <w:rFonts w:hint="eastAsia"/>
              </w:rPr>
              <w:t xml:space="preserve">注：提供的厂家必须是满足学校使用要求的可参与投标的厂家及产品，产品必须能够实质性响应招标用技术参数 </w:t>
            </w:r>
          </w:p>
          <w:tbl>
            <w:tblPr>
              <w:tblStyle w:val="12"/>
              <w:tblW w:w="6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34"/>
              <w:gridCol w:w="1854"/>
              <w:gridCol w:w="1564"/>
              <w:gridCol w:w="2145"/>
            </w:tblGrid>
            <w:tr w14:paraId="656361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1234" w:type="dxa"/>
                  <w:tcBorders>
                    <w:top w:val="single" w:color="auto" w:sz="4" w:space="0"/>
                    <w:left w:val="single" w:color="auto" w:sz="4" w:space="0"/>
                    <w:bottom w:val="single" w:color="auto" w:sz="4" w:space="0"/>
                    <w:right w:val="single" w:color="auto" w:sz="4" w:space="0"/>
                  </w:tcBorders>
                </w:tcPr>
                <w:p w14:paraId="20081770">
                  <w:pPr>
                    <w:jc w:val="center"/>
                    <w:rPr>
                      <w:rFonts w:ascii="宋体" w:hAnsi="宋体" w:eastAsia="宋体" w:cs="宋体"/>
                      <w:szCs w:val="21"/>
                    </w:rPr>
                  </w:pPr>
                  <w:r>
                    <w:rPr>
                      <w:rFonts w:hint="eastAsia" w:ascii="宋体" w:hAnsi="宋体" w:eastAsia="宋体" w:cs="宋体"/>
                      <w:szCs w:val="21"/>
                    </w:rPr>
                    <w:t>软件品牌</w:t>
                  </w:r>
                </w:p>
              </w:tc>
              <w:tc>
                <w:tcPr>
                  <w:tcW w:w="1854" w:type="dxa"/>
                  <w:tcBorders>
                    <w:top w:val="single" w:color="auto" w:sz="4" w:space="0"/>
                    <w:left w:val="single" w:color="auto" w:sz="4" w:space="0"/>
                    <w:bottom w:val="single" w:color="auto" w:sz="4" w:space="0"/>
                    <w:right w:val="single" w:color="auto" w:sz="4" w:space="0"/>
                  </w:tcBorders>
                  <w:vAlign w:val="center"/>
                </w:tcPr>
                <w:p w14:paraId="6E8AE971">
                  <w:pPr>
                    <w:jc w:val="center"/>
                    <w:rPr>
                      <w:rFonts w:ascii="宋体" w:hAnsi="宋体" w:eastAsia="宋体" w:cs="宋体"/>
                      <w:szCs w:val="21"/>
                    </w:rPr>
                  </w:pPr>
                  <w:r>
                    <w:rPr>
                      <w:rFonts w:hint="eastAsia" w:ascii="宋体" w:hAnsi="宋体" w:eastAsia="宋体" w:cs="宋体"/>
                      <w:szCs w:val="21"/>
                    </w:rPr>
                    <w:t>杰科力</w:t>
                  </w:r>
                </w:p>
              </w:tc>
              <w:tc>
                <w:tcPr>
                  <w:tcW w:w="1564" w:type="dxa"/>
                  <w:tcBorders>
                    <w:top w:val="single" w:color="auto" w:sz="4" w:space="0"/>
                    <w:left w:val="single" w:color="auto" w:sz="4" w:space="0"/>
                    <w:bottom w:val="single" w:color="auto" w:sz="4" w:space="0"/>
                    <w:right w:val="single" w:color="auto" w:sz="4" w:space="0"/>
                  </w:tcBorders>
                  <w:vAlign w:val="center"/>
                </w:tcPr>
                <w:p w14:paraId="1E1A6410">
                  <w:pPr>
                    <w:jc w:val="center"/>
                    <w:rPr>
                      <w:rFonts w:ascii="宋体" w:hAnsi="宋体" w:eastAsia="宋体" w:cs="宋体"/>
                      <w:szCs w:val="21"/>
                    </w:rPr>
                  </w:pPr>
                  <w:r>
                    <w:rPr>
                      <w:rFonts w:hint="eastAsia" w:ascii="宋体" w:hAnsi="宋体" w:eastAsia="宋体" w:cs="宋体"/>
                      <w:szCs w:val="21"/>
                    </w:rPr>
                    <w:t>大成弘毅</w:t>
                  </w:r>
                </w:p>
              </w:tc>
              <w:tc>
                <w:tcPr>
                  <w:tcW w:w="2145" w:type="dxa"/>
                  <w:tcBorders>
                    <w:top w:val="single" w:color="auto" w:sz="4" w:space="0"/>
                    <w:left w:val="single" w:color="auto" w:sz="4" w:space="0"/>
                    <w:bottom w:val="single" w:color="auto" w:sz="4" w:space="0"/>
                    <w:right w:val="single" w:color="auto" w:sz="4" w:space="0"/>
                  </w:tcBorders>
                  <w:vAlign w:val="center"/>
                </w:tcPr>
                <w:p w14:paraId="373B24FB">
                  <w:pPr>
                    <w:jc w:val="center"/>
                    <w:rPr>
                      <w:rFonts w:ascii="宋体" w:hAnsi="宋体" w:eastAsia="宋体" w:cs="宋体"/>
                      <w:szCs w:val="21"/>
                    </w:rPr>
                  </w:pPr>
                  <w:r>
                    <w:rPr>
                      <w:rFonts w:hint="eastAsia" w:ascii="宋体" w:hAnsi="宋体" w:eastAsia="宋体" w:cs="宋体"/>
                      <w:szCs w:val="21"/>
                    </w:rPr>
                    <w:t>慕课</w:t>
                  </w:r>
                </w:p>
              </w:tc>
            </w:tr>
            <w:tr w14:paraId="706AE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2" w:hRule="atLeast"/>
                <w:jc w:val="center"/>
              </w:trPr>
              <w:tc>
                <w:tcPr>
                  <w:tcW w:w="1234" w:type="dxa"/>
                  <w:tcBorders>
                    <w:top w:val="single" w:color="auto" w:sz="4" w:space="0"/>
                    <w:left w:val="single" w:color="auto" w:sz="4" w:space="0"/>
                    <w:bottom w:val="single" w:color="auto" w:sz="4" w:space="0"/>
                    <w:right w:val="single" w:color="auto" w:sz="4" w:space="0"/>
                  </w:tcBorders>
                </w:tcPr>
                <w:p w14:paraId="16AF49BC">
                  <w:pPr>
                    <w:jc w:val="center"/>
                    <w:rPr>
                      <w:rFonts w:ascii="宋体" w:hAnsi="宋体" w:eastAsia="宋体" w:cs="宋体"/>
                      <w:szCs w:val="21"/>
                    </w:rPr>
                  </w:pPr>
                  <w:r>
                    <w:rPr>
                      <w:rFonts w:hint="eastAsia" w:ascii="宋体" w:hAnsi="宋体" w:eastAsia="宋体" w:cs="宋体"/>
                      <w:szCs w:val="21"/>
                    </w:rPr>
                    <w:t>型号规格</w:t>
                  </w:r>
                </w:p>
              </w:tc>
              <w:tc>
                <w:tcPr>
                  <w:tcW w:w="1854" w:type="dxa"/>
                  <w:tcBorders>
                    <w:top w:val="single" w:color="auto" w:sz="4" w:space="0"/>
                    <w:left w:val="single" w:color="auto" w:sz="4" w:space="0"/>
                    <w:bottom w:val="single" w:color="auto" w:sz="4" w:space="0"/>
                    <w:right w:val="single" w:color="auto" w:sz="4" w:space="0"/>
                  </w:tcBorders>
                  <w:vAlign w:val="center"/>
                </w:tcPr>
                <w:p w14:paraId="3FB7A4D9">
                  <w:pPr>
                    <w:jc w:val="center"/>
                    <w:rPr>
                      <w:rFonts w:ascii="宋体" w:hAnsi="宋体" w:eastAsia="宋体" w:cs="宋体"/>
                      <w:szCs w:val="21"/>
                    </w:rPr>
                  </w:pPr>
                  <w:r>
                    <w:rPr>
                      <w:rFonts w:hint="eastAsia" w:ascii="宋体" w:hAnsi="宋体" w:eastAsia="宋体" w:cs="宋体"/>
                      <w:szCs w:val="21"/>
                    </w:rPr>
                    <w:t>数字经济实验室（国际经济学综合决策仿真实验）系统2.0</w:t>
                  </w:r>
                </w:p>
              </w:tc>
              <w:tc>
                <w:tcPr>
                  <w:tcW w:w="1564" w:type="dxa"/>
                  <w:tcBorders>
                    <w:top w:val="single" w:color="auto" w:sz="4" w:space="0"/>
                    <w:left w:val="single" w:color="auto" w:sz="4" w:space="0"/>
                    <w:bottom w:val="single" w:color="auto" w:sz="4" w:space="0"/>
                    <w:right w:val="single" w:color="auto" w:sz="4" w:space="0"/>
                  </w:tcBorders>
                  <w:vAlign w:val="center"/>
                </w:tcPr>
                <w:p w14:paraId="4D2F8AB6">
                  <w:pPr>
                    <w:jc w:val="center"/>
                    <w:rPr>
                      <w:rFonts w:ascii="宋体" w:hAnsi="宋体" w:eastAsia="宋体" w:cs="宋体"/>
                      <w:szCs w:val="21"/>
                    </w:rPr>
                  </w:pPr>
                  <w:r>
                    <w:rPr>
                      <w:rFonts w:hint="eastAsia" w:ascii="宋体" w:hAnsi="宋体" w:eastAsia="宋体" w:cs="宋体"/>
                      <w:szCs w:val="21"/>
                    </w:rPr>
                    <w:t>国际经济学仿真教学系统(无统一型号规格)</w:t>
                  </w:r>
                </w:p>
              </w:tc>
              <w:tc>
                <w:tcPr>
                  <w:tcW w:w="2145" w:type="dxa"/>
                  <w:tcBorders>
                    <w:top w:val="single" w:color="auto" w:sz="4" w:space="0"/>
                    <w:left w:val="single" w:color="auto" w:sz="4" w:space="0"/>
                    <w:bottom w:val="single" w:color="auto" w:sz="4" w:space="0"/>
                    <w:right w:val="single" w:color="auto" w:sz="4" w:space="0"/>
                  </w:tcBorders>
                  <w:vAlign w:val="center"/>
                </w:tcPr>
                <w:p w14:paraId="1B356761">
                  <w:pPr>
                    <w:jc w:val="center"/>
                    <w:rPr>
                      <w:rFonts w:ascii="宋体" w:hAnsi="宋体" w:eastAsia="宋体" w:cs="宋体"/>
                      <w:szCs w:val="21"/>
                    </w:rPr>
                  </w:pPr>
                  <w:r>
                    <w:rPr>
                      <w:rFonts w:hint="eastAsia" w:ascii="宋体" w:hAnsi="宋体" w:eastAsia="宋体" w:cs="宋体"/>
                      <w:szCs w:val="21"/>
                    </w:rPr>
                    <w:t>国际经济学模拟实验仿真系统（V1.8 ）</w:t>
                  </w:r>
                </w:p>
              </w:tc>
            </w:tr>
            <w:tr w14:paraId="32143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2" w:hRule="atLeast"/>
                <w:jc w:val="center"/>
              </w:trPr>
              <w:tc>
                <w:tcPr>
                  <w:tcW w:w="1234" w:type="dxa"/>
                  <w:tcBorders>
                    <w:top w:val="single" w:color="auto" w:sz="4" w:space="0"/>
                    <w:left w:val="single" w:color="auto" w:sz="4" w:space="0"/>
                    <w:bottom w:val="single" w:color="auto" w:sz="4" w:space="0"/>
                    <w:right w:val="single" w:color="auto" w:sz="4" w:space="0"/>
                  </w:tcBorders>
                </w:tcPr>
                <w:p w14:paraId="56FA04D1">
                  <w:pPr>
                    <w:jc w:val="center"/>
                    <w:rPr>
                      <w:rFonts w:ascii="宋体" w:hAnsi="宋体" w:eastAsia="宋体" w:cs="宋体"/>
                      <w:szCs w:val="21"/>
                    </w:rPr>
                  </w:pPr>
                  <w:r>
                    <w:rPr>
                      <w:rFonts w:hint="eastAsia" w:ascii="宋体" w:hAnsi="宋体" w:eastAsia="宋体" w:cs="宋体"/>
                      <w:szCs w:val="21"/>
                    </w:rPr>
                    <w:t>价格</w:t>
                  </w:r>
                </w:p>
              </w:tc>
              <w:tc>
                <w:tcPr>
                  <w:tcW w:w="1854" w:type="dxa"/>
                  <w:tcBorders>
                    <w:top w:val="single" w:color="auto" w:sz="4" w:space="0"/>
                    <w:left w:val="single" w:color="auto" w:sz="4" w:space="0"/>
                    <w:bottom w:val="single" w:color="auto" w:sz="4" w:space="0"/>
                    <w:right w:val="single" w:color="auto" w:sz="4" w:space="0"/>
                  </w:tcBorders>
                  <w:vAlign w:val="center"/>
                </w:tcPr>
                <w:p w14:paraId="5422FBD4">
                  <w:pPr>
                    <w:jc w:val="center"/>
                    <w:rPr>
                      <w:rFonts w:ascii="宋体" w:hAnsi="宋体" w:eastAsia="宋体" w:cs="宋体"/>
                      <w:szCs w:val="21"/>
                    </w:rPr>
                  </w:pPr>
                  <w:r>
                    <w:rPr>
                      <w:rFonts w:hint="eastAsia" w:ascii="宋体" w:hAnsi="宋体" w:eastAsia="宋体" w:cs="宋体"/>
                      <w:szCs w:val="21"/>
                    </w:rPr>
                    <w:t>338000元</w:t>
                  </w:r>
                </w:p>
              </w:tc>
              <w:tc>
                <w:tcPr>
                  <w:tcW w:w="1564" w:type="dxa"/>
                  <w:tcBorders>
                    <w:top w:val="single" w:color="auto" w:sz="4" w:space="0"/>
                    <w:left w:val="single" w:color="auto" w:sz="4" w:space="0"/>
                    <w:bottom w:val="single" w:color="auto" w:sz="4" w:space="0"/>
                    <w:right w:val="single" w:color="auto" w:sz="4" w:space="0"/>
                  </w:tcBorders>
                  <w:vAlign w:val="center"/>
                </w:tcPr>
                <w:p w14:paraId="01358195">
                  <w:pPr>
                    <w:jc w:val="center"/>
                    <w:rPr>
                      <w:rFonts w:ascii="宋体" w:hAnsi="宋体" w:eastAsia="宋体" w:cs="宋体"/>
                      <w:szCs w:val="21"/>
                    </w:rPr>
                  </w:pPr>
                  <w:r>
                    <w:rPr>
                      <w:rFonts w:hint="eastAsia" w:ascii="宋体" w:hAnsi="宋体" w:eastAsia="宋体" w:cs="宋体"/>
                      <w:szCs w:val="21"/>
                    </w:rPr>
                    <w:t>368800元</w:t>
                  </w:r>
                </w:p>
              </w:tc>
              <w:tc>
                <w:tcPr>
                  <w:tcW w:w="2145" w:type="dxa"/>
                  <w:tcBorders>
                    <w:top w:val="single" w:color="auto" w:sz="4" w:space="0"/>
                    <w:left w:val="single" w:color="auto" w:sz="4" w:space="0"/>
                    <w:bottom w:val="single" w:color="auto" w:sz="4" w:space="0"/>
                    <w:right w:val="single" w:color="auto" w:sz="4" w:space="0"/>
                  </w:tcBorders>
                  <w:vAlign w:val="center"/>
                </w:tcPr>
                <w:p w14:paraId="6CD5EC6E">
                  <w:pPr>
                    <w:jc w:val="center"/>
                    <w:rPr>
                      <w:rFonts w:ascii="宋体" w:hAnsi="宋体" w:eastAsia="宋体" w:cs="宋体"/>
                      <w:szCs w:val="21"/>
                    </w:rPr>
                  </w:pPr>
                  <w:r>
                    <w:rPr>
                      <w:rFonts w:hint="eastAsia" w:ascii="宋体" w:hAnsi="宋体" w:eastAsia="宋体" w:cs="宋体"/>
                      <w:szCs w:val="21"/>
                    </w:rPr>
                    <w:t> 350000元</w:t>
                  </w:r>
                </w:p>
              </w:tc>
            </w:tr>
            <w:tr w14:paraId="42AA12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1234" w:type="dxa"/>
                  <w:tcBorders>
                    <w:top w:val="single" w:color="auto" w:sz="4" w:space="0"/>
                    <w:left w:val="single" w:color="auto" w:sz="4" w:space="0"/>
                    <w:bottom w:val="single" w:color="auto" w:sz="4" w:space="0"/>
                    <w:right w:val="single" w:color="auto" w:sz="4" w:space="0"/>
                  </w:tcBorders>
                </w:tcPr>
                <w:p w14:paraId="3297F29B">
                  <w:pPr>
                    <w:jc w:val="center"/>
                    <w:rPr>
                      <w:rFonts w:ascii="宋体" w:hAnsi="宋体" w:eastAsia="宋体" w:cs="宋体"/>
                      <w:szCs w:val="21"/>
                    </w:rPr>
                  </w:pPr>
                  <w:r>
                    <w:rPr>
                      <w:rFonts w:hint="eastAsia" w:ascii="宋体" w:hAnsi="宋体" w:eastAsia="宋体" w:cs="宋体"/>
                      <w:szCs w:val="21"/>
                    </w:rPr>
                    <w:t>产品参数</w:t>
                  </w:r>
                </w:p>
              </w:tc>
              <w:tc>
                <w:tcPr>
                  <w:tcW w:w="5563" w:type="dxa"/>
                  <w:gridSpan w:val="3"/>
                  <w:tcBorders>
                    <w:top w:val="single" w:color="auto" w:sz="4" w:space="0"/>
                    <w:left w:val="single" w:color="auto" w:sz="4" w:space="0"/>
                    <w:bottom w:val="single" w:color="auto" w:sz="4" w:space="0"/>
                    <w:right w:val="single" w:color="auto" w:sz="4" w:space="0"/>
                  </w:tcBorders>
                  <w:vAlign w:val="center"/>
                </w:tcPr>
                <w:p w14:paraId="7AFB1F2B">
                  <w:pPr>
                    <w:jc w:val="center"/>
                    <w:rPr>
                      <w:rFonts w:ascii="宋体" w:hAnsi="宋体" w:eastAsia="宋体" w:cs="宋体"/>
                      <w:szCs w:val="21"/>
                    </w:rPr>
                  </w:pPr>
                  <w:r>
                    <w:rPr>
                      <w:rFonts w:hint="eastAsia" w:ascii="宋体" w:hAnsi="宋体" w:eastAsia="宋体" w:cs="宋体"/>
                      <w:szCs w:val="21"/>
                    </w:rPr>
                    <w:t>由于未找到相关招标公告，故无法提供三家详细参数的说明</w:t>
                  </w:r>
                </w:p>
              </w:tc>
            </w:tr>
            <w:tr w14:paraId="157D3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1234" w:type="dxa"/>
                  <w:tcBorders>
                    <w:top w:val="single" w:color="auto" w:sz="4" w:space="0"/>
                    <w:left w:val="single" w:color="auto" w:sz="4" w:space="0"/>
                    <w:bottom w:val="single" w:color="auto" w:sz="4" w:space="0"/>
                    <w:right w:val="single" w:color="auto" w:sz="4" w:space="0"/>
                  </w:tcBorders>
                </w:tcPr>
                <w:p w14:paraId="4BA5F941">
                  <w:pPr>
                    <w:jc w:val="center"/>
                    <w:rPr>
                      <w:rFonts w:ascii="宋体" w:hAnsi="宋体" w:eastAsia="宋体" w:cs="宋体"/>
                      <w:szCs w:val="21"/>
                    </w:rPr>
                  </w:pPr>
                  <w:r>
                    <w:rPr>
                      <w:rFonts w:hint="eastAsia" w:ascii="宋体" w:hAnsi="宋体" w:eastAsia="宋体" w:cs="宋体"/>
                      <w:szCs w:val="21"/>
                    </w:rPr>
                    <w:t>国别</w:t>
                  </w:r>
                </w:p>
              </w:tc>
              <w:tc>
                <w:tcPr>
                  <w:tcW w:w="1854" w:type="dxa"/>
                  <w:tcBorders>
                    <w:top w:val="single" w:color="auto" w:sz="4" w:space="0"/>
                    <w:left w:val="single" w:color="auto" w:sz="4" w:space="0"/>
                    <w:bottom w:val="single" w:color="auto" w:sz="4" w:space="0"/>
                    <w:right w:val="single" w:color="auto" w:sz="4" w:space="0"/>
                  </w:tcBorders>
                  <w:vAlign w:val="center"/>
                </w:tcPr>
                <w:p w14:paraId="061FB3B0">
                  <w:pPr>
                    <w:jc w:val="center"/>
                    <w:rPr>
                      <w:rFonts w:ascii="宋体" w:hAnsi="宋体" w:eastAsia="宋体" w:cs="宋体"/>
                      <w:szCs w:val="21"/>
                    </w:rPr>
                  </w:pPr>
                  <w:r>
                    <w:rPr>
                      <w:rFonts w:hint="eastAsia" w:ascii="宋体" w:hAnsi="宋体" w:eastAsia="宋体" w:cs="宋体"/>
                      <w:szCs w:val="21"/>
                    </w:rPr>
                    <w:t>中国</w:t>
                  </w:r>
                </w:p>
              </w:tc>
              <w:tc>
                <w:tcPr>
                  <w:tcW w:w="1564" w:type="dxa"/>
                  <w:tcBorders>
                    <w:top w:val="single" w:color="auto" w:sz="4" w:space="0"/>
                    <w:left w:val="single" w:color="auto" w:sz="4" w:space="0"/>
                    <w:bottom w:val="single" w:color="auto" w:sz="4" w:space="0"/>
                    <w:right w:val="single" w:color="auto" w:sz="4" w:space="0"/>
                  </w:tcBorders>
                  <w:vAlign w:val="center"/>
                </w:tcPr>
                <w:p w14:paraId="13C6A195">
                  <w:pPr>
                    <w:jc w:val="center"/>
                    <w:rPr>
                      <w:rFonts w:ascii="宋体" w:hAnsi="宋体" w:eastAsia="宋体" w:cs="宋体"/>
                      <w:szCs w:val="21"/>
                    </w:rPr>
                  </w:pPr>
                  <w:r>
                    <w:rPr>
                      <w:rFonts w:hint="eastAsia" w:ascii="宋体" w:hAnsi="宋体" w:eastAsia="宋体" w:cs="宋体"/>
                      <w:szCs w:val="21"/>
                    </w:rPr>
                    <w:t>中国</w:t>
                  </w:r>
                </w:p>
              </w:tc>
              <w:tc>
                <w:tcPr>
                  <w:tcW w:w="2145" w:type="dxa"/>
                  <w:tcBorders>
                    <w:top w:val="single" w:color="auto" w:sz="4" w:space="0"/>
                    <w:left w:val="single" w:color="auto" w:sz="4" w:space="0"/>
                    <w:bottom w:val="single" w:color="auto" w:sz="4" w:space="0"/>
                    <w:right w:val="single" w:color="auto" w:sz="4" w:space="0"/>
                  </w:tcBorders>
                  <w:vAlign w:val="center"/>
                </w:tcPr>
                <w:p w14:paraId="63BBE4B1">
                  <w:pPr>
                    <w:jc w:val="center"/>
                    <w:rPr>
                      <w:rFonts w:ascii="宋体" w:hAnsi="宋体" w:eastAsia="宋体" w:cs="宋体"/>
                      <w:szCs w:val="21"/>
                    </w:rPr>
                  </w:pPr>
                  <w:r>
                    <w:rPr>
                      <w:rFonts w:hint="eastAsia" w:ascii="宋体" w:hAnsi="宋体" w:eastAsia="宋体" w:cs="宋体"/>
                      <w:szCs w:val="21"/>
                    </w:rPr>
                    <w:t>中国</w:t>
                  </w:r>
                </w:p>
              </w:tc>
            </w:tr>
            <w:tr w14:paraId="352081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234" w:type="dxa"/>
                  <w:tcBorders>
                    <w:top w:val="single" w:color="auto" w:sz="4" w:space="0"/>
                    <w:left w:val="single" w:color="auto" w:sz="4" w:space="0"/>
                    <w:bottom w:val="single" w:color="auto" w:sz="4" w:space="0"/>
                    <w:right w:val="single" w:color="auto" w:sz="4" w:space="0"/>
                  </w:tcBorders>
                </w:tcPr>
                <w:p w14:paraId="4B8696E5">
                  <w:pPr>
                    <w:jc w:val="center"/>
                    <w:rPr>
                      <w:rFonts w:ascii="宋体" w:hAnsi="宋体" w:eastAsia="宋体" w:cs="宋体"/>
                      <w:szCs w:val="21"/>
                    </w:rPr>
                  </w:pPr>
                  <w:r>
                    <w:rPr>
                      <w:rFonts w:hint="eastAsia" w:ascii="宋体" w:hAnsi="宋体" w:eastAsia="宋体" w:cs="宋体"/>
                      <w:szCs w:val="21"/>
                    </w:rPr>
                    <w:t>联系方式</w:t>
                  </w:r>
                </w:p>
              </w:tc>
              <w:tc>
                <w:tcPr>
                  <w:tcW w:w="1854" w:type="dxa"/>
                  <w:tcBorders>
                    <w:top w:val="single" w:color="auto" w:sz="4" w:space="0"/>
                    <w:left w:val="single" w:color="auto" w:sz="4" w:space="0"/>
                    <w:bottom w:val="single" w:color="auto" w:sz="4" w:space="0"/>
                    <w:right w:val="single" w:color="auto" w:sz="4" w:space="0"/>
                  </w:tcBorders>
                  <w:vAlign w:val="center"/>
                </w:tcPr>
                <w:p w14:paraId="7F0A7979">
                  <w:pPr>
                    <w:jc w:val="center"/>
                    <w:rPr>
                      <w:rFonts w:ascii="宋体" w:hAnsi="宋体" w:eastAsia="宋体" w:cs="宋体"/>
                      <w:szCs w:val="21"/>
                    </w:rPr>
                  </w:pPr>
                  <w:r>
                    <w:rPr>
                      <w:rFonts w:hint="eastAsia" w:ascii="宋体" w:hAnsi="宋体" w:eastAsia="宋体" w:cs="宋体"/>
                      <w:szCs w:val="21"/>
                    </w:rPr>
                    <w:t>党女士：</w:t>
                  </w:r>
                </w:p>
                <w:p w14:paraId="2EB88B90">
                  <w:pPr>
                    <w:pStyle w:val="8"/>
                    <w:jc w:val="center"/>
                    <w:rPr>
                      <w:rFonts w:ascii="宋体" w:hAnsi="宋体" w:eastAsia="宋体" w:cs="宋体"/>
                      <w:sz w:val="21"/>
                      <w:szCs w:val="21"/>
                    </w:rPr>
                  </w:pPr>
                  <w:r>
                    <w:rPr>
                      <w:rFonts w:hint="eastAsia" w:ascii="宋体" w:hAnsi="宋体" w:eastAsia="宋体" w:cs="宋体"/>
                      <w:sz w:val="21"/>
                      <w:szCs w:val="21"/>
                    </w:rPr>
                    <w:t>028-81711073（18081053765）</w:t>
                  </w:r>
                </w:p>
              </w:tc>
              <w:tc>
                <w:tcPr>
                  <w:tcW w:w="1564" w:type="dxa"/>
                  <w:tcBorders>
                    <w:top w:val="single" w:color="auto" w:sz="4" w:space="0"/>
                    <w:left w:val="single" w:color="auto" w:sz="4" w:space="0"/>
                    <w:bottom w:val="single" w:color="auto" w:sz="4" w:space="0"/>
                    <w:right w:val="single" w:color="auto" w:sz="4" w:space="0"/>
                  </w:tcBorders>
                  <w:vAlign w:val="center"/>
                </w:tcPr>
                <w:p w14:paraId="5B43ACE4">
                  <w:pPr>
                    <w:jc w:val="center"/>
                    <w:rPr>
                      <w:rFonts w:ascii="宋体" w:hAnsi="宋体" w:eastAsia="宋体" w:cs="宋体"/>
                      <w:szCs w:val="21"/>
                    </w:rPr>
                  </w:pPr>
                  <w:r>
                    <w:rPr>
                      <w:rFonts w:hint="eastAsia" w:ascii="宋体" w:hAnsi="宋体" w:eastAsia="宋体" w:cs="宋体"/>
                      <w:szCs w:val="21"/>
                    </w:rPr>
                    <w:t>胡小姐：13518239552</w:t>
                  </w:r>
                </w:p>
              </w:tc>
              <w:tc>
                <w:tcPr>
                  <w:tcW w:w="2145" w:type="dxa"/>
                  <w:tcBorders>
                    <w:top w:val="single" w:color="auto" w:sz="4" w:space="0"/>
                    <w:left w:val="single" w:color="auto" w:sz="4" w:space="0"/>
                    <w:bottom w:val="single" w:color="auto" w:sz="4" w:space="0"/>
                    <w:right w:val="single" w:color="auto" w:sz="4" w:space="0"/>
                  </w:tcBorders>
                  <w:vAlign w:val="center"/>
                </w:tcPr>
                <w:p w14:paraId="048EFF07">
                  <w:pPr>
                    <w:jc w:val="center"/>
                    <w:rPr>
                      <w:rFonts w:ascii="宋体" w:hAnsi="宋体" w:eastAsia="宋体" w:cs="宋体"/>
                      <w:szCs w:val="21"/>
                    </w:rPr>
                  </w:pPr>
                  <w:r>
                    <w:rPr>
                      <w:rFonts w:hint="eastAsia" w:ascii="宋体" w:hAnsi="宋体" w:eastAsia="宋体" w:cs="宋体"/>
                      <w:szCs w:val="21"/>
                    </w:rPr>
                    <w:t>杨女士：13258330285</w:t>
                  </w:r>
                </w:p>
              </w:tc>
            </w:tr>
            <w:tr w14:paraId="396CF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4"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5B7084F8">
                  <w:pPr>
                    <w:jc w:val="left"/>
                    <w:rPr>
                      <w:rFonts w:ascii="宋体" w:hAnsi="宋体" w:eastAsia="宋体" w:cs="宋体"/>
                      <w:szCs w:val="21"/>
                    </w:rPr>
                  </w:pPr>
                  <w:r>
                    <w:rPr>
                      <w:rFonts w:hint="eastAsia" w:ascii="宋体" w:hAnsi="宋体" w:eastAsia="宋体" w:cs="宋体"/>
                      <w:szCs w:val="21"/>
                    </w:rPr>
                    <w:t>资质证书</w:t>
                  </w:r>
                </w:p>
              </w:tc>
              <w:tc>
                <w:tcPr>
                  <w:tcW w:w="1854" w:type="dxa"/>
                  <w:tcBorders>
                    <w:top w:val="single" w:color="auto" w:sz="4" w:space="0"/>
                    <w:left w:val="single" w:color="auto" w:sz="4" w:space="0"/>
                    <w:bottom w:val="single" w:color="auto" w:sz="4" w:space="0"/>
                    <w:right w:val="single" w:color="auto" w:sz="4" w:space="0"/>
                  </w:tcBorders>
                  <w:vAlign w:val="center"/>
                </w:tcPr>
                <w:p w14:paraId="6255DF85">
                  <w:pPr>
                    <w:jc w:val="left"/>
                    <w:rPr>
                      <w:rFonts w:ascii="宋体" w:hAnsi="宋体" w:eastAsia="宋体" w:cs="宋体"/>
                      <w:szCs w:val="21"/>
                    </w:rPr>
                  </w:pPr>
                  <w:r>
                    <w:rPr>
                      <w:rFonts w:hint="eastAsia" w:ascii="宋体" w:hAnsi="宋体" w:eastAsia="宋体" w:cs="宋体"/>
                      <w:szCs w:val="21"/>
                    </w:rPr>
                    <w:t>具备教育部产学研资质</w:t>
                  </w:r>
                </w:p>
                <w:p w14:paraId="7254E65C">
                  <w:pPr>
                    <w:jc w:val="left"/>
                    <w:rPr>
                      <w:rFonts w:ascii="宋体" w:hAnsi="宋体" w:eastAsia="宋体" w:cs="宋体"/>
                      <w:szCs w:val="21"/>
                    </w:rPr>
                  </w:pPr>
                  <w:r>
                    <w:rPr>
                      <w:rFonts w:hint="eastAsia" w:ascii="宋体" w:hAnsi="宋体" w:eastAsia="宋体" w:cs="宋体"/>
                      <w:szCs w:val="21"/>
                    </w:rPr>
                    <w:t>全国高校经济学综合博弈实验大赛官方指定软件</w:t>
                  </w:r>
                </w:p>
                <w:p w14:paraId="7B350A82">
                  <w:pPr>
                    <w:jc w:val="left"/>
                    <w:rPr>
                      <w:rFonts w:ascii="宋体" w:hAnsi="宋体" w:eastAsia="宋体" w:cs="宋体"/>
                      <w:szCs w:val="21"/>
                    </w:rPr>
                  </w:pPr>
                  <w:r>
                    <w:rPr>
                      <w:rFonts w:hint="eastAsia" w:ascii="宋体" w:hAnsi="宋体" w:eastAsia="宋体" w:cs="宋体"/>
                      <w:szCs w:val="21"/>
                    </w:rPr>
                    <w:t>国家发明专利</w:t>
                  </w:r>
                </w:p>
                <w:p w14:paraId="1A4373CB">
                  <w:pPr>
                    <w:jc w:val="left"/>
                    <w:rPr>
                      <w:rFonts w:ascii="宋体" w:hAnsi="宋体" w:eastAsia="宋体" w:cs="宋体"/>
                      <w:szCs w:val="21"/>
                    </w:rPr>
                  </w:pPr>
                  <w:r>
                    <w:rPr>
                      <w:rFonts w:hint="eastAsia" w:ascii="宋体" w:hAnsi="宋体" w:eastAsia="宋体" w:cs="宋体"/>
                      <w:szCs w:val="21"/>
                    </w:rPr>
                    <w:t>软件著作权</w:t>
                  </w:r>
                </w:p>
                <w:p w14:paraId="6F3D2857">
                  <w:pPr>
                    <w:jc w:val="left"/>
                    <w:rPr>
                      <w:rFonts w:ascii="宋体" w:hAnsi="宋体" w:eastAsia="宋体" w:cs="宋体"/>
                      <w:szCs w:val="21"/>
                    </w:rPr>
                  </w:pPr>
                  <w:r>
                    <w:rPr>
                      <w:rFonts w:hint="eastAsia" w:ascii="宋体" w:hAnsi="宋体" w:eastAsia="宋体" w:cs="宋体"/>
                      <w:szCs w:val="21"/>
                    </w:rPr>
                    <w:t>高新技术企业证书</w:t>
                  </w:r>
                </w:p>
              </w:tc>
              <w:tc>
                <w:tcPr>
                  <w:tcW w:w="1564" w:type="dxa"/>
                  <w:tcBorders>
                    <w:top w:val="single" w:color="auto" w:sz="4" w:space="0"/>
                    <w:left w:val="single" w:color="auto" w:sz="4" w:space="0"/>
                    <w:bottom w:val="single" w:color="auto" w:sz="4" w:space="0"/>
                    <w:right w:val="single" w:color="auto" w:sz="4" w:space="0"/>
                  </w:tcBorders>
                  <w:vAlign w:val="center"/>
                </w:tcPr>
                <w:p w14:paraId="6B20D0BF">
                  <w:pPr>
                    <w:jc w:val="left"/>
                    <w:rPr>
                      <w:rFonts w:ascii="宋体" w:hAnsi="宋体" w:eastAsia="宋体" w:cs="宋体"/>
                      <w:szCs w:val="21"/>
                    </w:rPr>
                  </w:pPr>
                  <w:r>
                    <w:rPr>
                      <w:rFonts w:hint="eastAsia" w:ascii="宋体" w:hAnsi="宋体" w:eastAsia="宋体" w:cs="宋体"/>
                      <w:szCs w:val="21"/>
                    </w:rPr>
                    <w:t>软件著作权</w:t>
                  </w:r>
                </w:p>
              </w:tc>
              <w:tc>
                <w:tcPr>
                  <w:tcW w:w="2145" w:type="dxa"/>
                  <w:tcBorders>
                    <w:top w:val="single" w:color="auto" w:sz="4" w:space="0"/>
                    <w:left w:val="single" w:color="auto" w:sz="4" w:space="0"/>
                    <w:bottom w:val="single" w:color="auto" w:sz="4" w:space="0"/>
                    <w:right w:val="single" w:color="auto" w:sz="4" w:space="0"/>
                  </w:tcBorders>
                  <w:vAlign w:val="center"/>
                </w:tcPr>
                <w:p w14:paraId="4DB790FD">
                  <w:pPr>
                    <w:jc w:val="left"/>
                    <w:rPr>
                      <w:rFonts w:ascii="宋体" w:hAnsi="宋体" w:eastAsia="宋体" w:cs="宋体"/>
                      <w:szCs w:val="21"/>
                    </w:rPr>
                  </w:pPr>
                  <w:r>
                    <w:rPr>
                      <w:rFonts w:hint="eastAsia" w:ascii="宋体" w:hAnsi="宋体" w:eastAsia="宋体" w:cs="宋体"/>
                      <w:szCs w:val="21"/>
                    </w:rPr>
                    <w:t>高新技术企业证书</w:t>
                  </w:r>
                </w:p>
                <w:p w14:paraId="352CAB4C">
                  <w:pPr>
                    <w:jc w:val="left"/>
                    <w:rPr>
                      <w:rFonts w:ascii="宋体" w:hAnsi="宋体" w:eastAsia="宋体" w:cs="宋体"/>
                      <w:szCs w:val="21"/>
                    </w:rPr>
                  </w:pPr>
                  <w:r>
                    <w:rPr>
                      <w:rFonts w:hint="eastAsia" w:ascii="宋体" w:hAnsi="宋体" w:eastAsia="宋体" w:cs="宋体"/>
                      <w:szCs w:val="21"/>
                    </w:rPr>
                    <w:t>软件著作权</w:t>
                  </w:r>
                </w:p>
                <w:p w14:paraId="4086E2C7">
                  <w:pPr>
                    <w:jc w:val="left"/>
                    <w:rPr>
                      <w:rFonts w:ascii="宋体" w:hAnsi="宋体" w:eastAsia="宋体" w:cs="宋体"/>
                      <w:szCs w:val="21"/>
                    </w:rPr>
                  </w:pPr>
                </w:p>
              </w:tc>
            </w:tr>
            <w:tr w14:paraId="1D0E60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44"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78F1FEC9">
                  <w:pPr>
                    <w:snapToGrid w:val="0"/>
                    <w:jc w:val="center"/>
                    <w:rPr>
                      <w:rFonts w:ascii="宋体" w:hAnsi="宋体" w:eastAsia="宋体" w:cs="宋体"/>
                      <w:szCs w:val="21"/>
                    </w:rPr>
                  </w:pPr>
                  <w:r>
                    <w:rPr>
                      <w:rFonts w:hint="eastAsia" w:ascii="宋体" w:hAnsi="宋体" w:eastAsia="宋体" w:cs="宋体"/>
                      <w:szCs w:val="21"/>
                    </w:rPr>
                    <w:t>主要业绩</w:t>
                  </w:r>
                </w:p>
              </w:tc>
              <w:tc>
                <w:tcPr>
                  <w:tcW w:w="1854" w:type="dxa"/>
                  <w:tcBorders>
                    <w:top w:val="single" w:color="auto" w:sz="4" w:space="0"/>
                    <w:left w:val="single" w:color="auto" w:sz="4" w:space="0"/>
                    <w:bottom w:val="single" w:color="auto" w:sz="4" w:space="0"/>
                    <w:right w:val="single" w:color="auto" w:sz="4" w:space="0"/>
                  </w:tcBorders>
                  <w:vAlign w:val="center"/>
                </w:tcPr>
                <w:p w14:paraId="2B77B7C8">
                  <w:pPr>
                    <w:jc w:val="left"/>
                    <w:rPr>
                      <w:rFonts w:ascii="宋体" w:hAnsi="宋体" w:eastAsia="宋体" w:cs="宋体"/>
                      <w:szCs w:val="21"/>
                    </w:rPr>
                  </w:pPr>
                  <w:r>
                    <w:rPr>
                      <w:rFonts w:hint="eastAsia" w:ascii="宋体" w:hAnsi="宋体" w:eastAsia="宋体" w:cs="宋体"/>
                      <w:szCs w:val="21"/>
                    </w:rPr>
                    <w:t>广东工业大学、广西师范大学、中国石油大学、中国地质大学、山东农业大学、吉林大学、山东财经大学、广州医科大学、广西科技大学、广州药科大学</w:t>
                  </w:r>
                </w:p>
              </w:tc>
              <w:tc>
                <w:tcPr>
                  <w:tcW w:w="1564" w:type="dxa"/>
                  <w:tcBorders>
                    <w:top w:val="single" w:color="auto" w:sz="4" w:space="0"/>
                    <w:left w:val="single" w:color="auto" w:sz="4" w:space="0"/>
                    <w:bottom w:val="single" w:color="auto" w:sz="4" w:space="0"/>
                    <w:right w:val="single" w:color="auto" w:sz="4" w:space="0"/>
                  </w:tcBorders>
                  <w:vAlign w:val="center"/>
                </w:tcPr>
                <w:p w14:paraId="0DB8E69B">
                  <w:pPr>
                    <w:jc w:val="left"/>
                    <w:rPr>
                      <w:rFonts w:ascii="宋体" w:hAnsi="宋体" w:eastAsia="宋体" w:cs="宋体"/>
                      <w:szCs w:val="21"/>
                    </w:rPr>
                  </w:pPr>
                  <w:r>
                    <w:rPr>
                      <w:rFonts w:hint="eastAsia" w:ascii="宋体" w:hAnsi="宋体" w:eastAsia="宋体" w:cs="宋体"/>
                      <w:szCs w:val="21"/>
                    </w:rPr>
                    <w:t>西北师范大学，四川财经职业技术学院</w:t>
                  </w:r>
                </w:p>
              </w:tc>
              <w:tc>
                <w:tcPr>
                  <w:tcW w:w="2145" w:type="dxa"/>
                  <w:tcBorders>
                    <w:top w:val="single" w:color="auto" w:sz="4" w:space="0"/>
                    <w:left w:val="single" w:color="auto" w:sz="4" w:space="0"/>
                    <w:bottom w:val="single" w:color="auto" w:sz="4" w:space="0"/>
                    <w:right w:val="single" w:color="auto" w:sz="4" w:space="0"/>
                  </w:tcBorders>
                  <w:vAlign w:val="center"/>
                </w:tcPr>
                <w:p w14:paraId="4BF1B044">
                  <w:pPr>
                    <w:jc w:val="left"/>
                    <w:rPr>
                      <w:rFonts w:ascii="宋体" w:hAnsi="宋体" w:eastAsia="宋体" w:cs="宋体"/>
                      <w:szCs w:val="21"/>
                    </w:rPr>
                  </w:pPr>
                  <w:r>
                    <w:rPr>
                      <w:rFonts w:hint="eastAsia" w:ascii="宋体" w:hAnsi="宋体" w:eastAsia="宋体" w:cs="宋体"/>
                      <w:szCs w:val="21"/>
                    </w:rPr>
                    <w:t>西南民族大学、四川民族学院</w:t>
                  </w:r>
                </w:p>
              </w:tc>
            </w:tr>
            <w:tr w14:paraId="60E8E2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1DEB8BB0">
                  <w:pPr>
                    <w:jc w:val="center"/>
                    <w:rPr>
                      <w:rFonts w:ascii="宋体" w:hAnsi="宋体" w:eastAsia="宋体" w:cs="宋体"/>
                      <w:szCs w:val="21"/>
                    </w:rPr>
                  </w:pPr>
                  <w:r>
                    <w:rPr>
                      <w:rFonts w:hint="eastAsia" w:ascii="宋体" w:hAnsi="宋体" w:eastAsia="宋体" w:cs="宋体"/>
                      <w:szCs w:val="21"/>
                    </w:rPr>
                    <w:t>应用范围</w:t>
                  </w:r>
                </w:p>
              </w:tc>
              <w:tc>
                <w:tcPr>
                  <w:tcW w:w="1854" w:type="dxa"/>
                  <w:tcBorders>
                    <w:top w:val="single" w:color="auto" w:sz="4" w:space="0"/>
                    <w:left w:val="single" w:color="auto" w:sz="4" w:space="0"/>
                    <w:bottom w:val="single" w:color="auto" w:sz="4" w:space="0"/>
                    <w:right w:val="single" w:color="auto" w:sz="4" w:space="0"/>
                  </w:tcBorders>
                  <w:vAlign w:val="center"/>
                </w:tcPr>
                <w:p w14:paraId="21C2E9CB">
                  <w:pPr>
                    <w:jc w:val="left"/>
                    <w:rPr>
                      <w:rFonts w:ascii="宋体" w:hAnsi="宋体" w:eastAsia="宋体" w:cs="宋体"/>
                      <w:szCs w:val="21"/>
                    </w:rPr>
                  </w:pPr>
                  <w:r>
                    <w:rPr>
                      <w:rFonts w:hint="eastAsia" w:ascii="宋体" w:hAnsi="宋体" w:eastAsia="宋体" w:cs="宋体"/>
                      <w:szCs w:val="21"/>
                    </w:rPr>
                    <w:t>本科生（含一本、二本）</w:t>
                  </w:r>
                </w:p>
              </w:tc>
              <w:tc>
                <w:tcPr>
                  <w:tcW w:w="1564" w:type="dxa"/>
                  <w:tcBorders>
                    <w:top w:val="single" w:color="auto" w:sz="4" w:space="0"/>
                    <w:left w:val="single" w:color="auto" w:sz="4" w:space="0"/>
                    <w:bottom w:val="single" w:color="auto" w:sz="4" w:space="0"/>
                    <w:right w:val="single" w:color="auto" w:sz="4" w:space="0"/>
                  </w:tcBorders>
                  <w:vAlign w:val="center"/>
                </w:tcPr>
                <w:p w14:paraId="0CE5DF6E">
                  <w:pPr>
                    <w:jc w:val="left"/>
                    <w:rPr>
                      <w:rFonts w:ascii="宋体" w:hAnsi="宋体" w:eastAsia="宋体" w:cs="宋体"/>
                      <w:szCs w:val="21"/>
                    </w:rPr>
                  </w:pPr>
                  <w:r>
                    <w:rPr>
                      <w:rFonts w:hint="eastAsia" w:ascii="宋体" w:hAnsi="宋体" w:eastAsia="宋体" w:cs="宋体"/>
                      <w:szCs w:val="21"/>
                    </w:rPr>
                    <w:t>专科生、本科生（三本）</w:t>
                  </w:r>
                </w:p>
              </w:tc>
              <w:tc>
                <w:tcPr>
                  <w:tcW w:w="2145" w:type="dxa"/>
                  <w:tcBorders>
                    <w:top w:val="single" w:color="auto" w:sz="4" w:space="0"/>
                    <w:left w:val="single" w:color="auto" w:sz="4" w:space="0"/>
                    <w:bottom w:val="single" w:color="auto" w:sz="4" w:space="0"/>
                    <w:right w:val="single" w:color="auto" w:sz="4" w:space="0"/>
                  </w:tcBorders>
                  <w:vAlign w:val="center"/>
                </w:tcPr>
                <w:p w14:paraId="384CF5F6">
                  <w:pPr>
                    <w:jc w:val="left"/>
                    <w:rPr>
                      <w:rFonts w:ascii="宋体" w:hAnsi="宋体" w:eastAsia="宋体" w:cs="宋体"/>
                      <w:szCs w:val="21"/>
                    </w:rPr>
                  </w:pPr>
                  <w:r>
                    <w:rPr>
                      <w:rFonts w:hint="eastAsia" w:ascii="宋体" w:hAnsi="宋体" w:eastAsia="宋体" w:cs="宋体"/>
                      <w:szCs w:val="21"/>
                    </w:rPr>
                    <w:t>研究生</w:t>
                  </w:r>
                </w:p>
              </w:tc>
            </w:tr>
            <w:tr w14:paraId="100744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58"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54C034E1">
                  <w:pPr>
                    <w:snapToGrid w:val="0"/>
                    <w:jc w:val="center"/>
                    <w:rPr>
                      <w:rFonts w:ascii="宋体" w:hAnsi="宋体" w:eastAsia="宋体" w:cs="宋体"/>
                      <w:szCs w:val="21"/>
                    </w:rPr>
                  </w:pPr>
                  <w:r>
                    <w:rPr>
                      <w:rFonts w:hint="eastAsia" w:ascii="宋体" w:hAnsi="宋体" w:eastAsia="宋体" w:cs="宋体"/>
                      <w:szCs w:val="21"/>
                    </w:rPr>
                    <w:t>软件</w:t>
                  </w:r>
                </w:p>
                <w:p w14:paraId="7886BADC">
                  <w:pPr>
                    <w:snapToGrid w:val="0"/>
                    <w:jc w:val="center"/>
                    <w:rPr>
                      <w:rFonts w:ascii="宋体" w:hAnsi="宋体" w:eastAsia="宋体" w:cs="宋体"/>
                      <w:szCs w:val="21"/>
                    </w:rPr>
                  </w:pPr>
                  <w:r>
                    <w:rPr>
                      <w:rFonts w:hint="eastAsia" w:ascii="宋体" w:hAnsi="宋体" w:eastAsia="宋体" w:cs="宋体"/>
                      <w:szCs w:val="21"/>
                    </w:rPr>
                    <w:t>特色</w:t>
                  </w:r>
                </w:p>
              </w:tc>
              <w:tc>
                <w:tcPr>
                  <w:tcW w:w="1854" w:type="dxa"/>
                  <w:tcBorders>
                    <w:top w:val="single" w:color="auto" w:sz="4" w:space="0"/>
                    <w:left w:val="single" w:color="auto" w:sz="4" w:space="0"/>
                    <w:bottom w:val="single" w:color="auto" w:sz="4" w:space="0"/>
                    <w:right w:val="single" w:color="auto" w:sz="4" w:space="0"/>
                  </w:tcBorders>
                  <w:vAlign w:val="center"/>
                </w:tcPr>
                <w:p w14:paraId="32C09A01">
                  <w:pPr>
                    <w:jc w:val="left"/>
                    <w:rPr>
                      <w:rFonts w:ascii="宋体" w:hAnsi="宋体" w:eastAsia="宋体" w:cs="宋体"/>
                      <w:szCs w:val="21"/>
                    </w:rPr>
                  </w:pPr>
                  <w:r>
                    <w:rPr>
                      <w:rFonts w:hint="eastAsia" w:ascii="宋体" w:hAnsi="宋体" w:eastAsia="宋体" w:cs="宋体"/>
                      <w:szCs w:val="21"/>
                    </w:rPr>
                    <w:t>业务全面、角色多样、趣味学习、切合国际经济学、国际金融、国际经济与贸易课程的知识点</w:t>
                  </w:r>
                </w:p>
              </w:tc>
              <w:tc>
                <w:tcPr>
                  <w:tcW w:w="1564" w:type="dxa"/>
                  <w:tcBorders>
                    <w:top w:val="single" w:color="auto" w:sz="4" w:space="0"/>
                    <w:left w:val="single" w:color="auto" w:sz="4" w:space="0"/>
                    <w:bottom w:val="single" w:color="auto" w:sz="4" w:space="0"/>
                    <w:right w:val="single" w:color="auto" w:sz="4" w:space="0"/>
                  </w:tcBorders>
                  <w:vAlign w:val="center"/>
                </w:tcPr>
                <w:p w14:paraId="5D9D23C6">
                  <w:pPr>
                    <w:jc w:val="left"/>
                    <w:rPr>
                      <w:rFonts w:ascii="宋体" w:hAnsi="宋体" w:eastAsia="宋体" w:cs="宋体"/>
                      <w:szCs w:val="21"/>
                    </w:rPr>
                  </w:pPr>
                  <w:r>
                    <w:rPr>
                      <w:rFonts w:hint="eastAsia" w:ascii="宋体" w:hAnsi="宋体" w:eastAsia="宋体" w:cs="宋体"/>
                      <w:szCs w:val="21"/>
                    </w:rPr>
                    <w:t> 切合实际、简单明了、老师容易操作</w:t>
                  </w:r>
                </w:p>
              </w:tc>
              <w:tc>
                <w:tcPr>
                  <w:tcW w:w="2145" w:type="dxa"/>
                  <w:tcBorders>
                    <w:top w:val="single" w:color="auto" w:sz="4" w:space="0"/>
                    <w:left w:val="single" w:color="auto" w:sz="4" w:space="0"/>
                    <w:bottom w:val="single" w:color="auto" w:sz="4" w:space="0"/>
                    <w:right w:val="single" w:color="auto" w:sz="4" w:space="0"/>
                  </w:tcBorders>
                  <w:vAlign w:val="center"/>
                </w:tcPr>
                <w:p w14:paraId="774AD0B0">
                  <w:pPr>
                    <w:jc w:val="left"/>
                    <w:rPr>
                      <w:rFonts w:ascii="宋体" w:hAnsi="宋体" w:eastAsia="宋体" w:cs="宋体"/>
                      <w:szCs w:val="21"/>
                    </w:rPr>
                  </w:pPr>
                  <w:r>
                    <w:rPr>
                      <w:rFonts w:hint="eastAsia" w:ascii="宋体" w:hAnsi="宋体" w:eastAsia="宋体" w:cs="宋体"/>
                      <w:szCs w:val="21"/>
                    </w:rPr>
                    <w:t> 高度仿真、但需要学生有扎实的计量经济学基础知识</w:t>
                  </w:r>
                </w:p>
              </w:tc>
            </w:tr>
            <w:tr w14:paraId="54D0F8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4"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02E6B112">
                  <w:pPr>
                    <w:snapToGrid w:val="0"/>
                    <w:jc w:val="center"/>
                    <w:rPr>
                      <w:rFonts w:ascii="宋体" w:hAnsi="宋体" w:eastAsia="宋体" w:cs="宋体"/>
                      <w:szCs w:val="21"/>
                    </w:rPr>
                  </w:pPr>
                  <w:r>
                    <w:rPr>
                      <w:rFonts w:hint="eastAsia" w:ascii="宋体" w:hAnsi="宋体" w:eastAsia="宋体" w:cs="宋体"/>
                      <w:szCs w:val="21"/>
                    </w:rPr>
                    <w:t>售后</w:t>
                  </w:r>
                </w:p>
                <w:p w14:paraId="6D5B2119">
                  <w:pPr>
                    <w:snapToGrid w:val="0"/>
                    <w:jc w:val="center"/>
                    <w:rPr>
                      <w:rFonts w:ascii="宋体" w:hAnsi="宋体" w:eastAsia="宋体" w:cs="宋体"/>
                      <w:szCs w:val="21"/>
                    </w:rPr>
                  </w:pPr>
                  <w:r>
                    <w:rPr>
                      <w:rFonts w:hint="eastAsia" w:ascii="宋体" w:hAnsi="宋体" w:eastAsia="宋体" w:cs="宋体"/>
                      <w:szCs w:val="21"/>
                    </w:rPr>
                    <w:t>服务</w:t>
                  </w:r>
                </w:p>
              </w:tc>
              <w:tc>
                <w:tcPr>
                  <w:tcW w:w="1854" w:type="dxa"/>
                  <w:tcBorders>
                    <w:top w:val="single" w:color="auto" w:sz="4" w:space="0"/>
                    <w:left w:val="single" w:color="auto" w:sz="4" w:space="0"/>
                    <w:bottom w:val="single" w:color="auto" w:sz="4" w:space="0"/>
                    <w:right w:val="single" w:color="auto" w:sz="4" w:space="0"/>
                  </w:tcBorders>
                  <w:vAlign w:val="center"/>
                </w:tcPr>
                <w:p w14:paraId="39637328">
                  <w:pPr>
                    <w:jc w:val="left"/>
                    <w:rPr>
                      <w:rFonts w:ascii="宋体" w:hAnsi="宋体" w:eastAsia="宋体" w:cs="宋体"/>
                      <w:szCs w:val="21"/>
                    </w:rPr>
                  </w:pPr>
                  <w:r>
                    <w:rPr>
                      <w:rFonts w:hint="eastAsia" w:ascii="宋体" w:hAnsi="宋体" w:eastAsia="宋体" w:cs="宋体"/>
                      <w:szCs w:val="21"/>
                    </w:rPr>
                    <w:t xml:space="preserve"> 3年质保期和免费升级服务 </w:t>
                  </w:r>
                </w:p>
              </w:tc>
              <w:tc>
                <w:tcPr>
                  <w:tcW w:w="1564" w:type="dxa"/>
                  <w:tcBorders>
                    <w:top w:val="single" w:color="auto" w:sz="4" w:space="0"/>
                    <w:left w:val="single" w:color="auto" w:sz="4" w:space="0"/>
                    <w:bottom w:val="single" w:color="auto" w:sz="4" w:space="0"/>
                    <w:right w:val="single" w:color="auto" w:sz="4" w:space="0"/>
                  </w:tcBorders>
                  <w:vAlign w:val="center"/>
                </w:tcPr>
                <w:p w14:paraId="3A23707D">
                  <w:pPr>
                    <w:jc w:val="left"/>
                    <w:rPr>
                      <w:rFonts w:ascii="宋体" w:hAnsi="宋体" w:eastAsia="宋体" w:cs="宋体"/>
                      <w:szCs w:val="21"/>
                    </w:rPr>
                  </w:pPr>
                  <w:r>
                    <w:rPr>
                      <w:rFonts w:hint="eastAsia" w:ascii="宋体" w:hAnsi="宋体" w:eastAsia="宋体" w:cs="宋体"/>
                      <w:szCs w:val="21"/>
                    </w:rPr>
                    <w:t> 3年质保期和免费升级服务</w:t>
                  </w:r>
                </w:p>
              </w:tc>
              <w:tc>
                <w:tcPr>
                  <w:tcW w:w="2145" w:type="dxa"/>
                  <w:tcBorders>
                    <w:top w:val="single" w:color="auto" w:sz="4" w:space="0"/>
                    <w:left w:val="single" w:color="auto" w:sz="4" w:space="0"/>
                    <w:bottom w:val="single" w:color="auto" w:sz="4" w:space="0"/>
                    <w:right w:val="single" w:color="auto" w:sz="4" w:space="0"/>
                  </w:tcBorders>
                  <w:vAlign w:val="center"/>
                </w:tcPr>
                <w:p w14:paraId="6058DA91">
                  <w:pPr>
                    <w:jc w:val="left"/>
                    <w:rPr>
                      <w:rFonts w:ascii="宋体" w:hAnsi="宋体" w:eastAsia="宋体" w:cs="宋体"/>
                      <w:szCs w:val="21"/>
                    </w:rPr>
                  </w:pPr>
                  <w:r>
                    <w:rPr>
                      <w:rFonts w:hint="eastAsia" w:ascii="宋体" w:hAnsi="宋体" w:eastAsia="宋体" w:cs="宋体"/>
                      <w:szCs w:val="21"/>
                    </w:rPr>
                    <w:t>3年质保期和免费升级服务</w:t>
                  </w:r>
                </w:p>
              </w:tc>
            </w:tr>
            <w:tr w14:paraId="2F7D35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61" w:hRule="atLeast"/>
                <w:jc w:val="center"/>
              </w:trPr>
              <w:tc>
                <w:tcPr>
                  <w:tcW w:w="1234" w:type="dxa"/>
                  <w:tcBorders>
                    <w:top w:val="single" w:color="auto" w:sz="4" w:space="0"/>
                    <w:left w:val="single" w:color="auto" w:sz="4" w:space="0"/>
                    <w:bottom w:val="single" w:color="auto" w:sz="4" w:space="0"/>
                    <w:right w:val="single" w:color="auto" w:sz="4" w:space="0"/>
                  </w:tcBorders>
                  <w:vAlign w:val="center"/>
                </w:tcPr>
                <w:p w14:paraId="3D32BA65">
                  <w:pPr>
                    <w:snapToGrid w:val="0"/>
                    <w:jc w:val="center"/>
                    <w:rPr>
                      <w:rFonts w:ascii="宋体" w:hAnsi="宋体" w:eastAsia="宋体" w:cs="宋体"/>
                      <w:szCs w:val="21"/>
                    </w:rPr>
                  </w:pPr>
                  <w:r>
                    <w:rPr>
                      <w:rFonts w:hint="eastAsia" w:ascii="宋体" w:hAnsi="宋体" w:eastAsia="宋体" w:cs="宋体"/>
                      <w:szCs w:val="21"/>
                    </w:rPr>
                    <w:t>对</w:t>
                  </w:r>
                </w:p>
                <w:p w14:paraId="1B659E1C">
                  <w:pPr>
                    <w:snapToGrid w:val="0"/>
                    <w:jc w:val="center"/>
                    <w:rPr>
                      <w:rFonts w:ascii="宋体" w:hAnsi="宋体" w:eastAsia="宋体" w:cs="宋体"/>
                      <w:szCs w:val="21"/>
                    </w:rPr>
                  </w:pPr>
                  <w:r>
                    <w:rPr>
                      <w:rFonts w:hint="eastAsia" w:ascii="宋体" w:hAnsi="宋体" w:eastAsia="宋体" w:cs="宋体"/>
                      <w:szCs w:val="21"/>
                    </w:rPr>
                    <w:t>比</w:t>
                  </w:r>
                </w:p>
                <w:p w14:paraId="5F0CBBB3">
                  <w:pPr>
                    <w:snapToGrid w:val="0"/>
                    <w:jc w:val="center"/>
                    <w:rPr>
                      <w:rFonts w:ascii="宋体" w:hAnsi="宋体" w:eastAsia="宋体" w:cs="宋体"/>
                      <w:szCs w:val="21"/>
                    </w:rPr>
                  </w:pPr>
                  <w:r>
                    <w:rPr>
                      <w:rFonts w:hint="eastAsia" w:ascii="宋体" w:hAnsi="宋体" w:eastAsia="宋体" w:cs="宋体"/>
                      <w:szCs w:val="21"/>
                    </w:rPr>
                    <w:t>分</w:t>
                  </w:r>
                </w:p>
                <w:p w14:paraId="5B19281B">
                  <w:pPr>
                    <w:snapToGrid w:val="0"/>
                    <w:jc w:val="center"/>
                    <w:rPr>
                      <w:rFonts w:ascii="宋体" w:hAnsi="宋体" w:eastAsia="宋体" w:cs="宋体"/>
                      <w:szCs w:val="21"/>
                    </w:rPr>
                  </w:pPr>
                  <w:r>
                    <w:rPr>
                      <w:rFonts w:hint="eastAsia" w:ascii="宋体" w:hAnsi="宋体" w:eastAsia="宋体" w:cs="宋体"/>
                      <w:szCs w:val="21"/>
                    </w:rPr>
                    <w:t>析</w:t>
                  </w:r>
                </w:p>
                <w:p w14:paraId="6D4A2487">
                  <w:pPr>
                    <w:snapToGrid w:val="0"/>
                    <w:jc w:val="center"/>
                    <w:rPr>
                      <w:rFonts w:ascii="宋体" w:hAnsi="宋体" w:eastAsia="宋体" w:cs="宋体"/>
                      <w:szCs w:val="21"/>
                    </w:rPr>
                  </w:pPr>
                  <w:r>
                    <w:rPr>
                      <w:rFonts w:hint="eastAsia" w:ascii="宋体" w:hAnsi="宋体" w:eastAsia="宋体" w:cs="宋体"/>
                      <w:szCs w:val="21"/>
                    </w:rPr>
                    <w:t>及</w:t>
                  </w:r>
                </w:p>
                <w:p w14:paraId="6BC8C8EB">
                  <w:pPr>
                    <w:snapToGrid w:val="0"/>
                    <w:jc w:val="center"/>
                    <w:rPr>
                      <w:rFonts w:ascii="宋体" w:hAnsi="宋体" w:eastAsia="宋体" w:cs="宋体"/>
                      <w:szCs w:val="21"/>
                    </w:rPr>
                  </w:pPr>
                  <w:r>
                    <w:rPr>
                      <w:rFonts w:hint="eastAsia" w:ascii="宋体" w:hAnsi="宋体" w:eastAsia="宋体" w:cs="宋体"/>
                      <w:szCs w:val="21"/>
                    </w:rPr>
                    <w:t>结</w:t>
                  </w:r>
                </w:p>
                <w:p w14:paraId="24DC912D">
                  <w:pPr>
                    <w:snapToGrid w:val="0"/>
                    <w:jc w:val="center"/>
                    <w:rPr>
                      <w:rFonts w:ascii="宋体" w:hAnsi="宋体" w:eastAsia="宋体" w:cs="宋体"/>
                      <w:szCs w:val="21"/>
                    </w:rPr>
                  </w:pPr>
                  <w:r>
                    <w:rPr>
                      <w:rFonts w:hint="eastAsia" w:ascii="宋体" w:hAnsi="宋体" w:eastAsia="宋体" w:cs="宋体"/>
                      <w:szCs w:val="21"/>
                    </w:rPr>
                    <w:t>论</w:t>
                  </w:r>
                </w:p>
              </w:tc>
              <w:tc>
                <w:tcPr>
                  <w:tcW w:w="5563" w:type="dxa"/>
                  <w:gridSpan w:val="3"/>
                  <w:tcBorders>
                    <w:top w:val="single" w:color="auto" w:sz="4" w:space="0"/>
                    <w:left w:val="single" w:color="auto" w:sz="4" w:space="0"/>
                    <w:bottom w:val="single" w:color="auto" w:sz="4" w:space="0"/>
                    <w:right w:val="single" w:color="auto" w:sz="4" w:space="0"/>
                  </w:tcBorders>
                  <w:vAlign w:val="center"/>
                </w:tcPr>
                <w:p w14:paraId="1E623BD8">
                  <w:pPr>
                    <w:ind w:firstLine="420" w:firstLineChars="200"/>
                    <w:jc w:val="left"/>
                    <w:rPr>
                      <w:rFonts w:ascii="宋体" w:hAnsi="宋体" w:eastAsia="宋体" w:cs="宋体"/>
                      <w:szCs w:val="21"/>
                    </w:rPr>
                  </w:pPr>
                  <w:r>
                    <w:rPr>
                      <w:rFonts w:hint="eastAsia" w:ascii="宋体" w:hAnsi="宋体" w:eastAsia="宋体" w:cs="宋体"/>
                      <w:szCs w:val="21"/>
                    </w:rPr>
                    <w:t>成都慕课科技有限公司工作人员仅传送相关资料并电话推介，欠缺软件的综合展示。</w:t>
                  </w:r>
                </w:p>
                <w:p w14:paraId="47BF2B21">
                  <w:pPr>
                    <w:ind w:firstLine="420" w:firstLineChars="200"/>
                    <w:jc w:val="left"/>
                    <w:rPr>
                      <w:rFonts w:ascii="宋体" w:hAnsi="宋体" w:eastAsia="宋体" w:cs="宋体"/>
                      <w:szCs w:val="21"/>
                    </w:rPr>
                  </w:pPr>
                  <w:r>
                    <w:rPr>
                      <w:rFonts w:hint="eastAsia" w:ascii="宋体" w:hAnsi="宋体" w:eastAsia="宋体" w:cs="宋体"/>
                      <w:szCs w:val="21"/>
                    </w:rPr>
                    <w:t>成都大成弘毅科技有限公司工作人员曾向财经学院推介该公司产品并已经安装试用，采取自愿原则组织学生试用并选拔优秀学生参加相关竞赛，成绩优秀。该产品基本满足教学需求，但仍应增强趣味性。</w:t>
                  </w:r>
                </w:p>
                <w:p w14:paraId="7E45F654">
                  <w:pPr>
                    <w:ind w:firstLine="420" w:firstLineChars="200"/>
                    <w:jc w:val="left"/>
                    <w:rPr>
                      <w:rFonts w:ascii="宋体" w:hAnsi="宋体" w:eastAsia="宋体" w:cs="宋体"/>
                      <w:szCs w:val="21"/>
                    </w:rPr>
                  </w:pPr>
                  <w:r>
                    <w:rPr>
                      <w:rFonts w:hint="eastAsia" w:ascii="宋体" w:hAnsi="宋体" w:eastAsia="宋体" w:cs="宋体"/>
                      <w:szCs w:val="21"/>
                    </w:rPr>
                    <w:t>成都杰科力科技有限公司已经多次与财经学院进行洽谈和磋商该公司软件产品，在此过程中，该公司的工作人员服务较好，展现出较高的专业技术水平，能够按照我院提出的要求对软件进行改进。</w:t>
                  </w:r>
                </w:p>
              </w:tc>
            </w:tr>
          </w:tbl>
          <w:p w14:paraId="121CDFE1">
            <w:pPr>
              <w:widowControl/>
              <w:ind w:firstLine="420" w:firstLineChars="200"/>
              <w:jc w:val="left"/>
            </w:pPr>
            <w:r>
              <w:rPr>
                <w:rFonts w:hint="eastAsia"/>
              </w:rPr>
              <w:t>成都杰科力科技有限公司成立于2011年，是专注于高等教育实验系统研发和教育资源产品分享传播的研发机构，公司依托西南财经大学、四川师范大学、四川大学、电子科技大学等高等院校，联合ABV管理咨询机构等，充分利用十余年来在高教实践中所积累的行业知识，结合实验教学规律，为广大学校定制研发经管类实践教学综合仿真软件。</w:t>
            </w:r>
          </w:p>
          <w:p w14:paraId="791D630D">
            <w:pPr>
              <w:widowControl/>
              <w:ind w:firstLine="420" w:firstLineChars="200"/>
              <w:jc w:val="left"/>
            </w:pPr>
            <w:r>
              <w:rPr>
                <w:rFonts w:hint="eastAsia"/>
              </w:rPr>
              <w:t>目前国内市场上同类模拟实验软件并不能实现《国际经济学》这一课程的实验教学。虽然现在市面上有流程类的软件可以使用，但其偏重于流程操作和一些行为试验，与国际经济学的教学内容基本无关。而本次我院申请建设的国际经济学实验平台主要用于国际经济与贸易专业基础课《国际经济学》综合实验教学，32学时，从国际贸易理论出发，结合要素禀赋理论、绝对优势和比较优势，模拟现实中的贸易壁垒、关税战、金融战等，设备具有专业和综合实验性质。且该系统为成都杰科力科技有限公司与西南财经大学、四川师范大学众多经济学领域学者联合开发，与国内经典教材《国际经济学》相配套，涵盖了国际经济学主要理论模型，并获得国家发明专利1项，实用新型专利1项，著作权1项，也是高校技术企业。</w:t>
            </w:r>
          </w:p>
          <w:p w14:paraId="5998486A">
            <w:pPr>
              <w:numPr>
                <w:ilvl w:val="0"/>
                <w:numId w:val="23"/>
              </w:numPr>
            </w:pPr>
            <w:r>
              <w:rPr>
                <w:rFonts w:hint="eastAsia"/>
              </w:rPr>
              <w:t>全国高校经济学综合博弈实验大赛官方指定软件</w:t>
            </w:r>
          </w:p>
          <w:p w14:paraId="63F377A5">
            <w:pPr>
              <w:numPr>
                <w:ilvl w:val="0"/>
                <w:numId w:val="23"/>
              </w:numPr>
            </w:pPr>
            <w:r>
              <w:rPr>
                <w:rFonts w:hint="eastAsia"/>
              </w:rPr>
              <w:br w:type="page"/>
            </w:r>
            <w:r>
              <w:rPr>
                <w:rFonts w:hint="eastAsia"/>
              </w:rPr>
              <w:t>个人专利</w:t>
            </w:r>
          </w:p>
          <w:p w14:paraId="0CC9CD27">
            <w:pPr>
              <w:numPr>
                <w:ilvl w:val="0"/>
                <w:numId w:val="23"/>
              </w:numPr>
            </w:pPr>
            <w:r>
              <w:rPr>
                <w:rFonts w:hint="eastAsia"/>
              </w:rPr>
              <w:br w:type="page"/>
            </w:r>
            <w:r>
              <w:rPr>
                <w:rFonts w:hint="eastAsia"/>
              </w:rPr>
              <w:t>专利授权</w:t>
            </w:r>
          </w:p>
          <w:p w14:paraId="24F4A391">
            <w:pPr>
              <w:numPr>
                <w:ilvl w:val="0"/>
                <w:numId w:val="23"/>
              </w:numPr>
            </w:pPr>
            <w:r>
              <w:rPr>
                <w:rFonts w:hint="eastAsia"/>
              </w:rPr>
              <w:t>软件著作权</w:t>
            </w:r>
          </w:p>
          <w:p w14:paraId="44EC4943">
            <w:pPr>
              <w:numPr>
                <w:ilvl w:val="0"/>
                <w:numId w:val="23"/>
              </w:numPr>
            </w:pPr>
            <w:r>
              <w:rPr>
                <w:rFonts w:hint="eastAsia"/>
                <w:lang w:eastAsia="zh-CN"/>
              </w:rPr>
              <w:t>高新技术</w:t>
            </w:r>
            <w:r>
              <w:rPr>
                <w:rFonts w:hint="eastAsia"/>
              </w:rPr>
              <w:t>企业</w:t>
            </w:r>
          </w:p>
        </w:tc>
      </w:tr>
      <w:tr w14:paraId="4918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1929" w:type="dxa"/>
            <w:vAlign w:val="center"/>
          </w:tcPr>
          <w:p w14:paraId="629FD3EC">
            <w:pPr>
              <w:jc w:val="center"/>
              <w:rPr>
                <w:rFonts w:ascii="宋体" w:hAnsi="宋体" w:eastAsia="宋体" w:cs="宋体"/>
                <w:szCs w:val="21"/>
              </w:rPr>
            </w:pPr>
          </w:p>
          <w:p w14:paraId="497CF328">
            <w:pPr>
              <w:jc w:val="center"/>
              <w:rPr>
                <w:rFonts w:ascii="宋体" w:hAnsi="宋体" w:eastAsia="宋体" w:cs="宋体"/>
                <w:szCs w:val="21"/>
              </w:rPr>
            </w:pPr>
            <w:r>
              <w:rPr>
                <w:rFonts w:hint="eastAsia" w:ascii="宋体" w:hAnsi="宋体" w:eastAsia="宋体" w:cs="宋体"/>
                <w:szCs w:val="21"/>
              </w:rPr>
              <w:t>填报单位</w:t>
            </w:r>
          </w:p>
          <w:p w14:paraId="6B5124B2">
            <w:pPr>
              <w:jc w:val="center"/>
              <w:rPr>
                <w:rFonts w:ascii="宋体" w:hAnsi="宋体" w:eastAsia="宋体" w:cs="宋体"/>
                <w:szCs w:val="21"/>
              </w:rPr>
            </w:pPr>
          </w:p>
        </w:tc>
        <w:tc>
          <w:tcPr>
            <w:tcW w:w="7230" w:type="dxa"/>
            <w:gridSpan w:val="4"/>
            <w:vAlign w:val="center"/>
          </w:tcPr>
          <w:p w14:paraId="2F38C24A">
            <w:pPr>
              <w:jc w:val="center"/>
              <w:rPr>
                <w:rFonts w:ascii="宋体" w:hAnsi="宋体" w:eastAsia="宋体" w:cs="宋体"/>
                <w:szCs w:val="21"/>
              </w:rPr>
            </w:pPr>
          </w:p>
          <w:p w14:paraId="3C130A75">
            <w:pPr>
              <w:rPr>
                <w:rFonts w:ascii="宋体" w:hAnsi="宋体" w:eastAsia="宋体" w:cs="宋体"/>
                <w:szCs w:val="21"/>
              </w:rPr>
            </w:pPr>
            <w:r>
              <w:rPr>
                <w:rFonts w:hint="eastAsia" w:ascii="宋体" w:hAnsi="宋体" w:eastAsia="宋体" w:cs="宋体"/>
                <w:szCs w:val="21"/>
              </w:rPr>
              <w:t xml:space="preserve">项目负责人：                    联系方式：                                     </w:t>
            </w:r>
          </w:p>
        </w:tc>
      </w:tr>
    </w:tbl>
    <w:p w14:paraId="4D2E4302">
      <w:pPr>
        <w:jc w:val="center"/>
        <w:rPr>
          <w:sz w:val="20"/>
          <w:szCs w:val="20"/>
        </w:rPr>
      </w:pPr>
    </w:p>
    <w:p w14:paraId="7F16375F">
      <w:pPr>
        <w:jc w:val="center"/>
        <w:rPr>
          <w:sz w:val="20"/>
          <w:szCs w:val="20"/>
        </w:rPr>
      </w:pPr>
      <w:r>
        <w:rPr>
          <w:rFonts w:hint="eastAsia"/>
          <w:sz w:val="20"/>
          <w:szCs w:val="20"/>
        </w:rPr>
        <w:t>注：1、通用项目（如计算机类，打印复印类、家电类等）没有特殊需求的，不需要提供三家参数。</w:t>
      </w:r>
    </w:p>
    <w:p w14:paraId="4A2D3BF2">
      <w:pPr>
        <w:jc w:val="center"/>
        <w:rPr>
          <w:sz w:val="20"/>
          <w:szCs w:val="20"/>
        </w:rPr>
      </w:pPr>
      <w:r>
        <w:rPr>
          <w:rFonts w:hint="eastAsia"/>
          <w:sz w:val="20"/>
          <w:szCs w:val="20"/>
        </w:rPr>
        <w:t>2、项目单价</w:t>
      </w:r>
      <w:r>
        <w:rPr>
          <w:rFonts w:hint="eastAsia"/>
          <w:color w:val="FF0000"/>
          <w:sz w:val="20"/>
          <w:szCs w:val="20"/>
        </w:rPr>
        <w:t>10万</w:t>
      </w:r>
      <w:r>
        <w:rPr>
          <w:rFonts w:hint="eastAsia"/>
          <w:sz w:val="20"/>
          <w:szCs w:val="20"/>
        </w:rPr>
        <w:t>或批量</w:t>
      </w:r>
      <w:r>
        <w:rPr>
          <w:rFonts w:hint="eastAsia"/>
          <w:color w:val="FF0000"/>
          <w:sz w:val="20"/>
          <w:szCs w:val="20"/>
        </w:rPr>
        <w:t>50万</w:t>
      </w:r>
      <w:r>
        <w:rPr>
          <w:rFonts w:hint="eastAsia"/>
          <w:sz w:val="20"/>
          <w:szCs w:val="20"/>
        </w:rPr>
        <w:t>以上，需求单位须去厂家或使用单位实地考察后填写此论证报告。</w:t>
      </w:r>
    </w:p>
    <w:p w14:paraId="2E79F736">
      <w:pPr>
        <w:ind w:firstLine="840" w:firstLineChars="400"/>
        <w:rPr>
          <w:rFonts w:ascii="宋体" w:hAnsi="宋体"/>
          <w:szCs w:val="21"/>
        </w:rPr>
      </w:pPr>
    </w:p>
    <w:tbl>
      <w:tblPr>
        <w:tblStyle w:val="12"/>
        <w:tblW w:w="900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14:paraId="2424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trPr>
        <w:tc>
          <w:tcPr>
            <w:tcW w:w="9000" w:type="dxa"/>
          </w:tcPr>
          <w:p w14:paraId="5C8561CB">
            <w:pPr>
              <w:rPr>
                <w:rFonts w:ascii="宋体" w:hAnsi="宋体"/>
                <w:b/>
                <w:sz w:val="28"/>
                <w:szCs w:val="28"/>
              </w:rPr>
            </w:pPr>
            <w:r>
              <w:rPr>
                <w:rFonts w:hint="eastAsia" w:ascii="宋体" w:hAnsi="宋体"/>
                <w:b/>
                <w:sz w:val="28"/>
                <w:szCs w:val="28"/>
              </w:rPr>
              <w:t>五、申报单位论证意见</w:t>
            </w:r>
          </w:p>
          <w:p w14:paraId="765B09AF">
            <w:pPr>
              <w:ind w:firstLine="482" w:firstLineChars="200"/>
              <w:rPr>
                <w:rFonts w:ascii="宋体" w:hAnsi="宋体"/>
                <w:b/>
                <w:sz w:val="24"/>
              </w:rPr>
            </w:pPr>
          </w:p>
          <w:p w14:paraId="3CCB1ED6">
            <w:pPr>
              <w:ind w:firstLine="482" w:firstLineChars="200"/>
              <w:rPr>
                <w:rFonts w:ascii="宋体" w:hAnsi="宋体"/>
                <w:b/>
                <w:sz w:val="24"/>
              </w:rPr>
            </w:pPr>
          </w:p>
          <w:p w14:paraId="476A10EF">
            <w:pPr>
              <w:ind w:firstLine="482" w:firstLineChars="200"/>
              <w:rPr>
                <w:rFonts w:ascii="宋体" w:hAnsi="宋体"/>
                <w:b/>
                <w:sz w:val="24"/>
              </w:rPr>
            </w:pPr>
          </w:p>
          <w:p w14:paraId="3F9AE203">
            <w:pPr>
              <w:rPr>
                <w:rFonts w:ascii="宋体" w:hAnsi="宋体"/>
                <w:b/>
                <w:sz w:val="24"/>
              </w:rPr>
            </w:pPr>
            <w:r>
              <w:rPr>
                <w:rFonts w:hint="eastAsia" w:ascii="宋体" w:hAnsi="宋体"/>
                <w:b/>
                <w:sz w:val="24"/>
              </w:rPr>
              <w:t xml:space="preserve">    </w:t>
            </w:r>
          </w:p>
          <w:p w14:paraId="7E10D8BF">
            <w:pPr>
              <w:rPr>
                <w:rFonts w:ascii="宋体" w:hAnsi="宋体"/>
                <w:b/>
                <w:sz w:val="24"/>
              </w:rPr>
            </w:pPr>
            <w:r>
              <w:rPr>
                <w:rFonts w:hint="eastAsia" w:ascii="宋体" w:hAnsi="宋体"/>
                <w:b/>
                <w:sz w:val="24"/>
              </w:rPr>
              <w:t xml:space="preserve">        </w:t>
            </w:r>
          </w:p>
          <w:p w14:paraId="23C3C6F1">
            <w:pPr>
              <w:ind w:firstLine="560" w:firstLineChars="200"/>
              <w:rPr>
                <w:rFonts w:ascii="宋体" w:hAnsi="宋体"/>
                <w:sz w:val="28"/>
                <w:szCs w:val="28"/>
              </w:rPr>
            </w:pPr>
            <w:r>
              <w:rPr>
                <w:rFonts w:hint="eastAsia" w:ascii="宋体" w:hAnsi="宋体"/>
                <w:sz w:val="28"/>
                <w:szCs w:val="28"/>
              </w:rPr>
              <w:t xml:space="preserve">论证人员签字：                </w:t>
            </w:r>
          </w:p>
          <w:p w14:paraId="6FBD3CEB">
            <w:pPr>
              <w:ind w:firstLine="560" w:firstLineChars="200"/>
              <w:rPr>
                <w:rFonts w:ascii="宋体" w:hAnsi="宋体"/>
                <w:sz w:val="28"/>
                <w:szCs w:val="28"/>
              </w:rPr>
            </w:pPr>
            <w:r>
              <w:rPr>
                <w:rFonts w:hint="eastAsia" w:ascii="宋体" w:hAnsi="宋体"/>
                <w:sz w:val="28"/>
                <w:szCs w:val="28"/>
              </w:rPr>
              <w:t xml:space="preserve">        </w:t>
            </w:r>
          </w:p>
          <w:p w14:paraId="612FB516">
            <w:pPr>
              <w:rPr>
                <w:rFonts w:ascii="宋体" w:hAnsi="宋体"/>
                <w:sz w:val="28"/>
                <w:szCs w:val="28"/>
              </w:rPr>
            </w:pPr>
            <w:r>
              <w:rPr>
                <w:rFonts w:ascii="宋体" w:hAnsi="宋体"/>
                <w:sz w:val="28"/>
                <w:szCs w:val="28"/>
              </w:rPr>
              <w:t xml:space="preserve">    </w:t>
            </w:r>
            <w:r>
              <w:rPr>
                <w:rFonts w:hint="eastAsia" w:ascii="宋体" w:hAnsi="宋体"/>
                <w:sz w:val="28"/>
                <w:szCs w:val="28"/>
              </w:rPr>
              <w:t>单位负责人：</w:t>
            </w:r>
            <w:r>
              <w:rPr>
                <w:rFonts w:ascii="宋体" w:hAnsi="宋体"/>
                <w:sz w:val="28"/>
                <w:szCs w:val="28"/>
              </w:rPr>
              <w:t xml:space="preserve">  </w:t>
            </w:r>
            <w:r>
              <w:rPr>
                <w:rFonts w:hint="eastAsia" w:ascii="宋体" w:hAnsi="宋体"/>
                <w:sz w:val="28"/>
                <w:szCs w:val="28"/>
              </w:rPr>
              <w:t xml:space="preserve">             　　　　　   年  </w:t>
            </w:r>
            <w:r>
              <w:rPr>
                <w:rFonts w:ascii="宋体" w:hAnsi="宋体"/>
                <w:sz w:val="28"/>
                <w:szCs w:val="28"/>
              </w:rPr>
              <w:t xml:space="preserve"> </w:t>
            </w:r>
            <w:r>
              <w:rPr>
                <w:rFonts w:hint="eastAsia" w:ascii="宋体" w:hAnsi="宋体"/>
                <w:sz w:val="28"/>
                <w:szCs w:val="28"/>
              </w:rPr>
              <w:t xml:space="preserve"> 月 </w:t>
            </w:r>
            <w:r>
              <w:rPr>
                <w:rFonts w:ascii="宋体" w:hAnsi="宋体"/>
                <w:sz w:val="28"/>
                <w:szCs w:val="28"/>
              </w:rPr>
              <w:t xml:space="preserve">  </w:t>
            </w:r>
            <w:r>
              <w:rPr>
                <w:rFonts w:hint="eastAsia" w:ascii="宋体" w:hAnsi="宋体"/>
                <w:sz w:val="28"/>
                <w:szCs w:val="28"/>
              </w:rPr>
              <w:t xml:space="preserve"> 日</w:t>
            </w:r>
            <w:r>
              <w:rPr>
                <w:rFonts w:ascii="宋体" w:hAnsi="宋体"/>
                <w:sz w:val="28"/>
                <w:szCs w:val="28"/>
              </w:rPr>
              <w:t xml:space="preserve">  </w:t>
            </w:r>
          </w:p>
        </w:tc>
      </w:tr>
      <w:tr w14:paraId="64ED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9000" w:type="dxa"/>
          </w:tcPr>
          <w:p w14:paraId="2CF7EBFA">
            <w:pPr>
              <w:rPr>
                <w:rFonts w:ascii="宋体" w:hAnsi="宋体"/>
                <w:b/>
                <w:sz w:val="28"/>
                <w:szCs w:val="28"/>
              </w:rPr>
            </w:pPr>
            <w:r>
              <w:rPr>
                <w:rFonts w:hint="eastAsia" w:ascii="宋体" w:hAnsi="宋体"/>
                <w:b/>
                <w:sz w:val="28"/>
                <w:szCs w:val="28"/>
              </w:rPr>
              <w:t>六、主管单位审核意见</w:t>
            </w:r>
          </w:p>
          <w:p w14:paraId="5F91AA9F">
            <w:pPr>
              <w:ind w:firstLine="480" w:firstLineChars="200"/>
              <w:rPr>
                <w:rFonts w:ascii="宋体" w:hAnsi="宋体" w:cs="宋体"/>
                <w:sz w:val="24"/>
              </w:rPr>
            </w:pPr>
          </w:p>
          <w:p w14:paraId="3F22531C">
            <w:pPr>
              <w:ind w:firstLine="480" w:firstLineChars="200"/>
              <w:rPr>
                <w:rFonts w:ascii="宋体" w:hAnsi="宋体" w:cs="宋体"/>
                <w:sz w:val="24"/>
              </w:rPr>
            </w:pPr>
          </w:p>
          <w:p w14:paraId="5E59D8B6">
            <w:pPr>
              <w:ind w:firstLine="480" w:firstLineChars="200"/>
              <w:rPr>
                <w:rFonts w:ascii="宋体" w:hAnsi="宋体" w:cs="宋体"/>
                <w:sz w:val="24"/>
              </w:rPr>
            </w:pPr>
          </w:p>
          <w:p w14:paraId="7DDF1610">
            <w:pPr>
              <w:ind w:firstLine="560" w:firstLineChars="200"/>
              <w:rPr>
                <w:rFonts w:ascii="宋体" w:hAnsi="宋体"/>
                <w:b/>
                <w:sz w:val="28"/>
                <w:szCs w:val="28"/>
              </w:rPr>
            </w:pPr>
            <w:r>
              <w:rPr>
                <w:rFonts w:hint="eastAsia" w:ascii="宋体" w:hAnsi="宋体" w:cs="宋体"/>
                <w:sz w:val="28"/>
                <w:szCs w:val="28"/>
              </w:rPr>
              <w:t>主管</w:t>
            </w:r>
            <w:r>
              <w:rPr>
                <w:rFonts w:hint="eastAsia" w:ascii="宋体" w:hAnsi="宋体"/>
                <w:sz w:val="28"/>
                <w:szCs w:val="28"/>
              </w:rPr>
              <w:t>单位负责人：                         年</w:t>
            </w: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 月 </w:t>
            </w:r>
            <w:r>
              <w:rPr>
                <w:rFonts w:ascii="宋体" w:hAnsi="宋体"/>
                <w:sz w:val="28"/>
                <w:szCs w:val="28"/>
              </w:rPr>
              <w:t xml:space="preserve">  </w:t>
            </w:r>
            <w:r>
              <w:rPr>
                <w:rFonts w:hint="eastAsia" w:ascii="宋体" w:hAnsi="宋体"/>
                <w:sz w:val="28"/>
                <w:szCs w:val="28"/>
              </w:rPr>
              <w:t xml:space="preserve"> 日</w:t>
            </w:r>
            <w:r>
              <w:rPr>
                <w:rFonts w:ascii="宋体" w:hAnsi="宋体"/>
                <w:sz w:val="28"/>
                <w:szCs w:val="28"/>
              </w:rPr>
              <w:t xml:space="preserve">        </w:t>
            </w:r>
            <w:r>
              <w:rPr>
                <w:rFonts w:hint="eastAsia" w:ascii="宋体" w:hAnsi="宋体"/>
                <w:sz w:val="28"/>
                <w:szCs w:val="28"/>
              </w:rPr>
              <w:t xml:space="preserve">                        　　　　　</w:t>
            </w:r>
          </w:p>
        </w:tc>
      </w:tr>
      <w:tr w14:paraId="4FEB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1" w:hRule="atLeast"/>
        </w:trPr>
        <w:tc>
          <w:tcPr>
            <w:tcW w:w="9000" w:type="dxa"/>
          </w:tcPr>
          <w:p w14:paraId="60CB1159">
            <w:pPr>
              <w:rPr>
                <w:rFonts w:ascii="宋体" w:hAnsi="宋体"/>
                <w:b/>
                <w:sz w:val="28"/>
                <w:szCs w:val="28"/>
              </w:rPr>
            </w:pPr>
            <w:r>
              <w:rPr>
                <w:rFonts w:hint="eastAsia" w:ascii="宋体" w:hAnsi="宋体"/>
                <w:b/>
                <w:sz w:val="28"/>
                <w:szCs w:val="28"/>
              </w:rPr>
              <w:t>七、主管校领导意见</w:t>
            </w:r>
          </w:p>
          <w:p w14:paraId="3AD4FEF9">
            <w:pPr>
              <w:ind w:firstLine="480" w:firstLineChars="200"/>
              <w:rPr>
                <w:rFonts w:ascii="宋体" w:hAnsi="宋体" w:cs="宋体"/>
                <w:sz w:val="24"/>
              </w:rPr>
            </w:pPr>
          </w:p>
          <w:p w14:paraId="2E4EA7F6">
            <w:pPr>
              <w:ind w:firstLine="480" w:firstLineChars="200"/>
              <w:rPr>
                <w:rFonts w:ascii="宋体" w:hAnsi="宋体" w:cs="宋体"/>
                <w:sz w:val="24"/>
              </w:rPr>
            </w:pPr>
          </w:p>
          <w:p w14:paraId="339697DA">
            <w:pPr>
              <w:ind w:firstLine="480" w:firstLineChars="200"/>
              <w:rPr>
                <w:rFonts w:ascii="宋体" w:hAnsi="宋体" w:cs="宋体"/>
                <w:sz w:val="24"/>
              </w:rPr>
            </w:pPr>
          </w:p>
          <w:p w14:paraId="7A798083">
            <w:pPr>
              <w:ind w:firstLine="560" w:firstLineChars="200"/>
              <w:rPr>
                <w:rFonts w:ascii="宋体" w:hAnsi="宋体"/>
                <w:sz w:val="28"/>
                <w:szCs w:val="28"/>
              </w:rPr>
            </w:pPr>
            <w:r>
              <w:rPr>
                <w:rFonts w:hint="eastAsia" w:ascii="宋体" w:hAnsi="宋体" w:cs="宋体"/>
                <w:sz w:val="28"/>
                <w:szCs w:val="28"/>
              </w:rPr>
              <w:t>主管</w:t>
            </w:r>
            <w:r>
              <w:rPr>
                <w:rFonts w:hint="eastAsia" w:ascii="宋体" w:hAnsi="宋体"/>
                <w:sz w:val="28"/>
                <w:szCs w:val="28"/>
              </w:rPr>
              <w:t xml:space="preserve">校领导：                            年 </w:t>
            </w:r>
            <w:r>
              <w:rPr>
                <w:rFonts w:ascii="宋体" w:hAnsi="宋体"/>
                <w:sz w:val="28"/>
                <w:szCs w:val="28"/>
              </w:rPr>
              <w:t xml:space="preserve"> </w:t>
            </w:r>
            <w:r>
              <w:rPr>
                <w:rFonts w:hint="eastAsia" w:ascii="宋体" w:hAnsi="宋体"/>
                <w:sz w:val="28"/>
                <w:szCs w:val="28"/>
              </w:rPr>
              <w:t xml:space="preserve">  月</w:t>
            </w: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 日</w:t>
            </w:r>
            <w:r>
              <w:rPr>
                <w:rFonts w:ascii="宋体" w:hAnsi="宋体"/>
                <w:sz w:val="28"/>
                <w:szCs w:val="28"/>
              </w:rPr>
              <w:t xml:space="preserve">  </w:t>
            </w:r>
            <w:r>
              <w:rPr>
                <w:rFonts w:hint="eastAsia" w:ascii="宋体" w:hAnsi="宋体"/>
                <w:sz w:val="28"/>
                <w:szCs w:val="28"/>
              </w:rPr>
              <w:t xml:space="preserve">                   　　　　　     </w:t>
            </w:r>
          </w:p>
        </w:tc>
      </w:tr>
      <w:tr w14:paraId="29E9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3" w:hRule="atLeast"/>
        </w:trPr>
        <w:tc>
          <w:tcPr>
            <w:tcW w:w="9000" w:type="dxa"/>
          </w:tcPr>
          <w:p w14:paraId="140807C8">
            <w:pPr>
              <w:rPr>
                <w:rFonts w:ascii="宋体" w:hAnsi="宋体"/>
                <w:b/>
                <w:sz w:val="28"/>
                <w:szCs w:val="28"/>
              </w:rPr>
            </w:pPr>
            <w:r>
              <w:rPr>
                <w:rFonts w:hint="eastAsia" w:ascii="宋体" w:hAnsi="宋体"/>
                <w:b/>
                <w:sz w:val="28"/>
                <w:szCs w:val="28"/>
              </w:rPr>
              <w:t>八、专家组论证意见</w:t>
            </w:r>
            <w:r>
              <w:rPr>
                <w:rFonts w:ascii="宋体" w:hAnsi="宋体"/>
                <w:b/>
                <w:sz w:val="28"/>
                <w:szCs w:val="28"/>
              </w:rPr>
              <w:t xml:space="preserve">  </w:t>
            </w:r>
            <w:r>
              <w:rPr>
                <w:rFonts w:ascii="宋体" w:hAnsi="宋体"/>
                <w:sz w:val="28"/>
                <w:szCs w:val="28"/>
              </w:rPr>
              <w:t xml:space="preserve"> </w:t>
            </w:r>
          </w:p>
          <w:p w14:paraId="5EF3D359">
            <w:pPr>
              <w:ind w:firstLine="480" w:firstLineChars="200"/>
              <w:rPr>
                <w:rFonts w:ascii="宋体" w:hAnsi="宋体"/>
                <w:sz w:val="24"/>
              </w:rPr>
            </w:pPr>
          </w:p>
          <w:p w14:paraId="0F43BF2D">
            <w:pPr>
              <w:ind w:firstLine="480" w:firstLineChars="200"/>
              <w:rPr>
                <w:rFonts w:ascii="宋体" w:hAnsi="宋体"/>
                <w:sz w:val="24"/>
              </w:rPr>
            </w:pPr>
          </w:p>
          <w:p w14:paraId="5B37F78A">
            <w:pPr>
              <w:ind w:firstLine="480" w:firstLineChars="200"/>
              <w:rPr>
                <w:rFonts w:ascii="宋体" w:hAnsi="宋体"/>
                <w:sz w:val="24"/>
              </w:rPr>
            </w:pPr>
          </w:p>
          <w:p w14:paraId="22B7EC4D">
            <w:pPr>
              <w:ind w:firstLine="480" w:firstLineChars="200"/>
              <w:rPr>
                <w:rFonts w:ascii="宋体" w:hAnsi="宋体"/>
                <w:sz w:val="24"/>
              </w:rPr>
            </w:pPr>
          </w:p>
          <w:p w14:paraId="3B24C721">
            <w:pPr>
              <w:ind w:firstLine="560" w:firstLineChars="200"/>
              <w:rPr>
                <w:rFonts w:ascii="宋体" w:hAnsi="宋体" w:cs="宋体"/>
                <w:sz w:val="28"/>
                <w:szCs w:val="28"/>
              </w:rPr>
            </w:pPr>
            <w:r>
              <w:rPr>
                <w:rFonts w:hint="eastAsia" w:ascii="宋体" w:hAnsi="宋体"/>
                <w:sz w:val="28"/>
                <w:szCs w:val="28"/>
              </w:rPr>
              <w:t xml:space="preserve">专家组签字：                      </w:t>
            </w:r>
            <w:r>
              <w:rPr>
                <w:rFonts w:hint="eastAsia" w:ascii="宋体" w:hAnsi="宋体" w:cs="宋体"/>
                <w:sz w:val="28"/>
                <w:szCs w:val="28"/>
              </w:rPr>
              <w:t xml:space="preserve">     </w:t>
            </w:r>
          </w:p>
          <w:p w14:paraId="6D86277D">
            <w:pPr>
              <w:ind w:firstLine="5880" w:firstLineChars="2100"/>
              <w:rPr>
                <w:rFonts w:ascii="宋体" w:hAnsi="宋体"/>
                <w:sz w:val="28"/>
                <w:szCs w:val="28"/>
              </w:rPr>
            </w:pPr>
            <w:r>
              <w:rPr>
                <w:rFonts w:hint="eastAsia" w:ascii="宋体" w:hAnsi="宋体" w:cs="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 xml:space="preserve">  月</w:t>
            </w: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日 </w:t>
            </w:r>
          </w:p>
        </w:tc>
      </w:tr>
    </w:tbl>
    <w:p w14:paraId="7A0FB6C9">
      <w:pPr>
        <w:rPr>
          <w:rFonts w:ascii="仿宋_GB2312" w:hAnsi="宋体" w:eastAsia="仿宋_GB2312"/>
          <w:sz w:val="28"/>
          <w:szCs w:val="28"/>
        </w:rPr>
      </w:pPr>
    </w:p>
    <w:p w14:paraId="47832887">
      <w:pPr>
        <w:spacing w:line="560" w:lineRule="exact"/>
        <w:rPr>
          <w:rFonts w:ascii="楷体_GB2312" w:hAnsi="宋体" w:eastAsia="楷体_GB2312" w:cs="宋体"/>
          <w:color w:val="333333"/>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Microsoft Sans Serif">
    <w:panose1 w:val="020B0604020202020204"/>
    <w:charset w:val="00"/>
    <w:family w:val="swiss"/>
    <w:pitch w:val="default"/>
    <w:sig w:usb0="E5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F0071">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62846">
    <w:pPr>
      <w:pStyle w:val="9"/>
      <w:ind w:firstLine="0" w:firstLineChars="0"/>
      <w:jc w:val="center"/>
    </w:pPr>
    <w:r>
      <w:rPr>
        <w:rFonts w:ascii="宋体" w:hAnsi="宋体" w:eastAsia="宋体" w:cs="宋体"/>
        <w:sz w:val="24"/>
        <w:szCs w:val="24"/>
      </w:rPr>
      <w:fldChar w:fldCharType="begin"/>
    </w:r>
    <w:r>
      <w:rPr>
        <w:rFonts w:ascii="宋体" w:hAnsi="宋体" w:eastAsia="宋体" w:cs="宋体"/>
        <w:sz w:val="24"/>
        <w:szCs w:val="24"/>
      </w:rPr>
      <w:instrText xml:space="preserve">INCLUDEPICTURE \d "D:\\QQ\\Tencent Files\\554354600\\nt_qq\\nt_data\\Pic\\2024-09\\Ori\\f78efc5913b515288639d0fd621a6757.png"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1087755" cy="193040"/>
          <wp:effectExtent l="0" t="0" r="17145" b="165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
                  <a:stretch>
                    <a:fillRect/>
                  </a:stretch>
                </pic:blipFill>
                <pic:spPr>
                  <a:xfrm>
                    <a:off x="0" y="0"/>
                    <a:ext cx="1087755" cy="193040"/>
                  </a:xfrm>
                  <a:prstGeom prst="rect">
                    <a:avLst/>
                  </a:prstGeom>
                  <a:noFill/>
                  <a:ln>
                    <a:noFill/>
                  </a:ln>
                </pic:spPr>
              </pic:pic>
            </a:graphicData>
          </a:graphic>
        </wp:inline>
      </w:drawing>
    </w:r>
    <w:r>
      <w:rPr>
        <w:rFonts w:ascii="宋体" w:hAnsi="宋体" w:eastAsia="宋体" w:cs="宋体"/>
        <w:sz w:val="24"/>
        <w:szCs w:val="24"/>
      </w:rPr>
      <w:fldChar w:fldCharType="end"/>
    </w:r>
    <w:r>
      <w:t> </w:t>
    </w:r>
    <w:r>
      <w:rPr>
        <w:rFonts w:hint="eastAsia"/>
        <w:lang w:val="en-US" w:eastAsia="zh-CN"/>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727A29"/>
    <w:multiLevelType w:val="multilevel"/>
    <w:tmpl w:val="8A727A29"/>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default" w:ascii="仿宋" w:hAnsi="仿宋" w:eastAsia="仿宋" w:cs="仿宋"/>
        <w:b/>
        <w:bCs/>
        <w:sz w:val="24"/>
        <w:szCs w:val="24"/>
      </w:rPr>
    </w:lvl>
    <w:lvl w:ilvl="3" w:tentative="0">
      <w:start w:val="1"/>
      <w:numFmt w:val="decimalEnclosedCircleChinese"/>
      <w:suff w:val="nothing"/>
      <w:lvlText w:val="%4 "/>
      <w:lvlJc w:val="left"/>
      <w:pPr>
        <w:ind w:left="0" w:firstLine="402"/>
      </w:pPr>
      <w:rPr>
        <w:rFonts w:hint="eastAsia"/>
        <w:b w:val="0"/>
        <w:bCs w:val="0"/>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8B284BED"/>
    <w:multiLevelType w:val="multilevel"/>
    <w:tmpl w:val="8B284BED"/>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2">
    <w:nsid w:val="C692EEE1"/>
    <w:multiLevelType w:val="singleLevel"/>
    <w:tmpl w:val="C692EEE1"/>
    <w:lvl w:ilvl="0" w:tentative="0">
      <w:start w:val="1"/>
      <w:numFmt w:val="decimal"/>
      <w:lvlText w:val="%1)"/>
      <w:lvlJc w:val="left"/>
      <w:pPr>
        <w:ind w:left="425" w:hanging="425"/>
      </w:pPr>
      <w:rPr>
        <w:rFonts w:hint="default"/>
      </w:rPr>
    </w:lvl>
  </w:abstractNum>
  <w:abstractNum w:abstractNumId="3">
    <w:nsid w:val="CC29C7AF"/>
    <w:multiLevelType w:val="singleLevel"/>
    <w:tmpl w:val="CC29C7AF"/>
    <w:lvl w:ilvl="0" w:tentative="0">
      <w:start w:val="1"/>
      <w:numFmt w:val="bullet"/>
      <w:lvlText w:val=""/>
      <w:lvlJc w:val="left"/>
      <w:pPr>
        <w:tabs>
          <w:tab w:val="left" w:pos="420"/>
        </w:tabs>
        <w:ind w:left="840" w:hanging="420"/>
      </w:pPr>
      <w:rPr>
        <w:rFonts w:hint="default" w:ascii="Wingdings" w:hAnsi="Wingdings"/>
      </w:rPr>
    </w:lvl>
  </w:abstractNum>
  <w:abstractNum w:abstractNumId="4">
    <w:nsid w:val="CF1D81B1"/>
    <w:multiLevelType w:val="multilevel"/>
    <w:tmpl w:val="CF1D81B1"/>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default" w:ascii="仿宋" w:hAnsi="仿宋" w:eastAsia="仿宋" w:cs="仿宋"/>
        <w:b/>
        <w:bCs/>
        <w:sz w:val="24"/>
        <w:szCs w:val="24"/>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
    <w:nsid w:val="D8C560C3"/>
    <w:multiLevelType w:val="singleLevel"/>
    <w:tmpl w:val="D8C560C3"/>
    <w:lvl w:ilvl="0" w:tentative="0">
      <w:start w:val="1"/>
      <w:numFmt w:val="bullet"/>
      <w:lvlText w:val=""/>
      <w:lvlJc w:val="left"/>
      <w:pPr>
        <w:ind w:left="420" w:hanging="420"/>
      </w:pPr>
      <w:rPr>
        <w:rFonts w:hint="default" w:ascii="Wingdings" w:hAnsi="Wingdings"/>
      </w:rPr>
    </w:lvl>
  </w:abstractNum>
  <w:abstractNum w:abstractNumId="6">
    <w:nsid w:val="D9AEF24A"/>
    <w:multiLevelType w:val="multilevel"/>
    <w:tmpl w:val="D9AEF24A"/>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default" w:ascii="仿宋" w:hAnsi="仿宋" w:eastAsia="仿宋" w:cs="仿宋"/>
        <w:b/>
        <w:bCs/>
        <w:sz w:val="24"/>
        <w:szCs w:val="24"/>
      </w:rPr>
    </w:lvl>
    <w:lvl w:ilvl="3" w:tentative="0">
      <w:start w:val="1"/>
      <w:numFmt w:val="decimalEnclosedCircleChinese"/>
      <w:suff w:val="nothing"/>
      <w:lvlText w:val="%4 "/>
      <w:lvlJc w:val="left"/>
      <w:pPr>
        <w:ind w:left="0" w:firstLine="402"/>
      </w:pPr>
      <w:rPr>
        <w:rFonts w:hint="eastAsia"/>
        <w:b w:val="0"/>
        <w:bCs w:val="0"/>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7">
    <w:nsid w:val="E222BBED"/>
    <w:multiLevelType w:val="multilevel"/>
    <w:tmpl w:val="E222BBED"/>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default" w:ascii="仿宋" w:hAnsi="仿宋" w:eastAsia="仿宋" w:cs="仿宋"/>
        <w:b/>
        <w:bCs/>
        <w:sz w:val="24"/>
        <w:szCs w:val="24"/>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8">
    <w:nsid w:val="E7B82CBD"/>
    <w:multiLevelType w:val="singleLevel"/>
    <w:tmpl w:val="E7B82CBD"/>
    <w:lvl w:ilvl="0" w:tentative="0">
      <w:start w:val="1"/>
      <w:numFmt w:val="decimal"/>
      <w:lvlText w:val="(%1)"/>
      <w:lvlJc w:val="left"/>
      <w:pPr>
        <w:ind w:left="425" w:hanging="425"/>
      </w:pPr>
      <w:rPr>
        <w:rFonts w:hint="default"/>
        <w:b w:val="0"/>
        <w:bCs w:val="0"/>
        <w:sz w:val="24"/>
        <w:szCs w:val="24"/>
      </w:rPr>
    </w:lvl>
  </w:abstractNum>
  <w:abstractNum w:abstractNumId="9">
    <w:nsid w:val="EBE84D51"/>
    <w:multiLevelType w:val="singleLevel"/>
    <w:tmpl w:val="EBE84D51"/>
    <w:lvl w:ilvl="0" w:tentative="0">
      <w:start w:val="1"/>
      <w:numFmt w:val="chineseCounting"/>
      <w:suff w:val="nothing"/>
      <w:lvlText w:val="（%1）"/>
      <w:lvlJc w:val="left"/>
      <w:pPr>
        <w:ind w:left="0" w:firstLine="420"/>
      </w:pPr>
      <w:rPr>
        <w:rFonts w:hint="eastAsia"/>
      </w:rPr>
    </w:lvl>
  </w:abstractNum>
  <w:abstractNum w:abstractNumId="10">
    <w:nsid w:val="F3DF633E"/>
    <w:multiLevelType w:val="multilevel"/>
    <w:tmpl w:val="F3DF633E"/>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1">
    <w:nsid w:val="06551987"/>
    <w:multiLevelType w:val="singleLevel"/>
    <w:tmpl w:val="06551987"/>
    <w:lvl w:ilvl="0" w:tentative="0">
      <w:start w:val="1"/>
      <w:numFmt w:val="decimal"/>
      <w:lvlText w:val="%1)"/>
      <w:lvlJc w:val="left"/>
      <w:pPr>
        <w:ind w:left="425" w:hanging="425"/>
      </w:pPr>
      <w:rPr>
        <w:rFonts w:hint="default"/>
      </w:rPr>
    </w:lvl>
  </w:abstractNum>
  <w:abstractNum w:abstractNumId="12">
    <w:nsid w:val="08B717E1"/>
    <w:multiLevelType w:val="multilevel"/>
    <w:tmpl w:val="08B717E1"/>
    <w:lvl w:ilvl="0" w:tentative="0">
      <w:start w:val="1"/>
      <w:numFmt w:val="decimal"/>
      <w:lvlText w:val="第%1章 "/>
      <w:lvlJc w:val="left"/>
      <w:pPr>
        <w:tabs>
          <w:tab w:val="left" w:pos="1080"/>
        </w:tabs>
        <w:ind w:left="420" w:hanging="420"/>
      </w:pPr>
      <w:rPr>
        <w:rFonts w:hint="default" w:cs="Times New Roman"/>
      </w:rPr>
    </w:lvl>
    <w:lvl w:ilvl="1" w:tentative="0">
      <w:start w:val="1"/>
      <w:numFmt w:val="decimal"/>
      <w:lvlText w:val="%1.%2"/>
      <w:lvlJc w:val="left"/>
      <w:pPr>
        <w:tabs>
          <w:tab w:val="left" w:pos="720"/>
        </w:tabs>
      </w:pPr>
      <w:rPr>
        <w:rFonts w:hint="eastAsia" w:cs="Times New Roman"/>
      </w:rPr>
    </w:lvl>
    <w:lvl w:ilvl="2" w:tentative="0">
      <w:start w:val="1"/>
      <w:numFmt w:val="decimal"/>
      <w:lvlText w:val="%1.%2.%3 "/>
      <w:lvlJc w:val="left"/>
      <w:pPr>
        <w:tabs>
          <w:tab w:val="left" w:pos="720"/>
        </w:tabs>
      </w:pPr>
      <w:rPr>
        <w:rFonts w:hint="eastAsia" w:cs="Times New Roman"/>
      </w:rPr>
    </w:lvl>
    <w:lvl w:ilvl="3" w:tentative="0">
      <w:start w:val="1"/>
      <w:numFmt w:val="decimal"/>
      <w:lvlText w:val="%1.%2.%3.%4"/>
      <w:lvlJc w:val="left"/>
      <w:pPr>
        <w:tabs>
          <w:tab w:val="left" w:pos="1080"/>
        </w:tabs>
      </w:pPr>
      <w:rPr>
        <w:rFonts w:hint="eastAsia" w:cs="Times New Roman"/>
      </w:rPr>
    </w:lvl>
    <w:lvl w:ilvl="4" w:tentative="0">
      <w:start w:val="1"/>
      <w:numFmt w:val="decimal"/>
      <w:pStyle w:val="22"/>
      <w:lvlText w:val="%5)"/>
      <w:lvlJc w:val="left"/>
      <w:pPr>
        <w:tabs>
          <w:tab w:val="left" w:pos="420"/>
        </w:tabs>
        <w:ind w:left="420" w:hanging="420"/>
      </w:pPr>
      <w:rPr>
        <w:rFonts w:hint="default"/>
      </w:rPr>
    </w:lvl>
    <w:lvl w:ilvl="5" w:tentative="0">
      <w:start w:val="1"/>
      <w:numFmt w:val="decimal"/>
      <w:lvlText w:val="（%6）"/>
      <w:lvlJc w:val="left"/>
      <w:pPr>
        <w:tabs>
          <w:tab w:val="left" w:pos="720"/>
        </w:tabs>
      </w:pPr>
      <w:rPr>
        <w:rFonts w:hint="default" w:ascii="Arial" w:hAnsi="Arial" w:eastAsia="宋体" w:cs="Times New Roman"/>
        <w:sz w:val="21"/>
      </w:rPr>
    </w:lvl>
    <w:lvl w:ilvl="6" w:tentative="0">
      <w:start w:val="1"/>
      <w:numFmt w:val="decimal"/>
      <w:lvlText w:val="  %7）"/>
      <w:lvlJc w:val="left"/>
      <w:pPr>
        <w:tabs>
          <w:tab w:val="left" w:pos="720"/>
        </w:tabs>
      </w:pPr>
      <w:rPr>
        <w:rFonts w:hint="eastAsia" w:cs="Times New Roman"/>
      </w:rPr>
    </w:lvl>
    <w:lvl w:ilvl="7" w:tentative="0">
      <w:start w:val="1"/>
      <w:numFmt w:val="none"/>
      <w:lvlRestart w:val="0"/>
      <w:lvlText w:val=""/>
      <w:lvlJc w:val="left"/>
      <w:pPr>
        <w:tabs>
          <w:tab w:val="left" w:pos="360"/>
        </w:tabs>
      </w:pPr>
      <w:rPr>
        <w:rFonts w:hint="eastAsia" w:cs="Times New Roman"/>
      </w:rPr>
    </w:lvl>
    <w:lvl w:ilvl="8" w:tentative="0">
      <w:start w:val="1"/>
      <w:numFmt w:val="decimal"/>
      <w:lvlRestart w:val="0"/>
      <w:lvlText w:val="图 %1—%9  "/>
      <w:lvlJc w:val="center"/>
      <w:pPr>
        <w:tabs>
          <w:tab w:val="left" w:pos="360"/>
        </w:tabs>
      </w:pPr>
      <w:rPr>
        <w:rFonts w:hint="default" w:ascii="Arial" w:hAnsi="Arial" w:eastAsia="黑体" w:cs="Times New Roman"/>
        <w:sz w:val="18"/>
      </w:rPr>
    </w:lvl>
  </w:abstractNum>
  <w:abstractNum w:abstractNumId="13">
    <w:nsid w:val="0FABA32A"/>
    <w:multiLevelType w:val="singleLevel"/>
    <w:tmpl w:val="0FABA32A"/>
    <w:lvl w:ilvl="0" w:tentative="0">
      <w:start w:val="1"/>
      <w:numFmt w:val="bullet"/>
      <w:lvlText w:val=""/>
      <w:lvlJc w:val="left"/>
      <w:pPr>
        <w:tabs>
          <w:tab w:val="left" w:pos="420"/>
        </w:tabs>
        <w:ind w:left="840" w:hanging="420"/>
      </w:pPr>
      <w:rPr>
        <w:rFonts w:hint="default" w:ascii="Wingdings" w:hAnsi="Wingdings"/>
      </w:rPr>
    </w:lvl>
  </w:abstractNum>
  <w:abstractNum w:abstractNumId="14">
    <w:nsid w:val="130EDC88"/>
    <w:multiLevelType w:val="singleLevel"/>
    <w:tmpl w:val="130EDC88"/>
    <w:lvl w:ilvl="0" w:tentative="0">
      <w:start w:val="1"/>
      <w:numFmt w:val="decimal"/>
      <w:suff w:val="nothing"/>
      <w:lvlText w:val="%1、"/>
      <w:lvlJc w:val="left"/>
    </w:lvl>
  </w:abstractNum>
  <w:abstractNum w:abstractNumId="15">
    <w:nsid w:val="2500235A"/>
    <w:multiLevelType w:val="multilevel"/>
    <w:tmpl w:val="2500235A"/>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25B2C698"/>
    <w:multiLevelType w:val="multilevel"/>
    <w:tmpl w:val="25B2C698"/>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default" w:ascii="仿宋" w:hAnsi="仿宋" w:eastAsia="仿宋" w:cs="仿宋"/>
        <w:b/>
        <w:bCs/>
        <w:sz w:val="24"/>
        <w:szCs w:val="24"/>
      </w:rPr>
    </w:lvl>
    <w:lvl w:ilvl="3" w:tentative="0">
      <w:start w:val="1"/>
      <w:numFmt w:val="decimalEnclosedCircleChinese"/>
      <w:suff w:val="nothing"/>
      <w:lvlText w:val="%4 "/>
      <w:lvlJc w:val="left"/>
      <w:pPr>
        <w:ind w:left="0" w:firstLine="402"/>
      </w:pPr>
      <w:rPr>
        <w:rFonts w:hint="eastAsia"/>
        <w:b w:val="0"/>
        <w:bCs w:val="0"/>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7">
    <w:nsid w:val="292C0EFD"/>
    <w:multiLevelType w:val="multilevel"/>
    <w:tmpl w:val="292C0EFD"/>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default" w:ascii="仿宋" w:hAnsi="仿宋" w:eastAsia="仿宋" w:cs="仿宋"/>
        <w:sz w:val="24"/>
        <w:szCs w:val="24"/>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8">
    <w:nsid w:val="2A797E74"/>
    <w:multiLevelType w:val="singleLevel"/>
    <w:tmpl w:val="2A797E74"/>
    <w:lvl w:ilvl="0" w:tentative="0">
      <w:start w:val="1"/>
      <w:numFmt w:val="bullet"/>
      <w:lvlText w:val=""/>
      <w:lvlJc w:val="left"/>
      <w:pPr>
        <w:tabs>
          <w:tab w:val="left" w:pos="420"/>
        </w:tabs>
        <w:ind w:left="840" w:hanging="420"/>
      </w:pPr>
      <w:rPr>
        <w:rFonts w:hint="default" w:ascii="Wingdings" w:hAnsi="Wingdings"/>
      </w:rPr>
    </w:lvl>
  </w:abstractNum>
  <w:abstractNum w:abstractNumId="19">
    <w:nsid w:val="3BA27220"/>
    <w:multiLevelType w:val="singleLevel"/>
    <w:tmpl w:val="3BA27220"/>
    <w:lvl w:ilvl="0" w:tentative="0">
      <w:start w:val="1"/>
      <w:numFmt w:val="decimal"/>
      <w:lvlText w:val="%1."/>
      <w:lvlJc w:val="left"/>
      <w:pPr>
        <w:ind w:left="425" w:hanging="425"/>
      </w:pPr>
      <w:rPr>
        <w:rFonts w:hint="default"/>
      </w:rPr>
    </w:lvl>
  </w:abstractNum>
  <w:abstractNum w:abstractNumId="20">
    <w:nsid w:val="525B30EF"/>
    <w:multiLevelType w:val="multilevel"/>
    <w:tmpl w:val="525B30EF"/>
    <w:lvl w:ilvl="0" w:tentative="0">
      <w:start w:val="1"/>
      <w:numFmt w:val="japaneseCounting"/>
      <w:lvlText w:val="%1、"/>
      <w:lvlJc w:val="left"/>
      <w:pPr>
        <w:tabs>
          <w:tab w:val="left" w:pos="1121"/>
        </w:tabs>
        <w:ind w:left="1121" w:hanging="570"/>
      </w:pPr>
      <w:rPr>
        <w:rFonts w:hint="default" w:cs="Times New Roman"/>
        <w:sz w:val="28"/>
      </w:rPr>
    </w:lvl>
    <w:lvl w:ilvl="1" w:tentative="0">
      <w:start w:val="1"/>
      <w:numFmt w:val="lowerLetter"/>
      <w:lvlText w:val="%2)"/>
      <w:lvlJc w:val="left"/>
      <w:pPr>
        <w:tabs>
          <w:tab w:val="left" w:pos="1391"/>
        </w:tabs>
        <w:ind w:left="1391" w:hanging="420"/>
      </w:pPr>
    </w:lvl>
    <w:lvl w:ilvl="2" w:tentative="0">
      <w:start w:val="1"/>
      <w:numFmt w:val="lowerRoman"/>
      <w:lvlText w:val="%3."/>
      <w:lvlJc w:val="right"/>
      <w:pPr>
        <w:tabs>
          <w:tab w:val="left" w:pos="1811"/>
        </w:tabs>
        <w:ind w:left="1811" w:hanging="420"/>
      </w:pPr>
    </w:lvl>
    <w:lvl w:ilvl="3" w:tentative="0">
      <w:start w:val="1"/>
      <w:numFmt w:val="decimal"/>
      <w:lvlText w:val="%4."/>
      <w:lvlJc w:val="left"/>
      <w:pPr>
        <w:tabs>
          <w:tab w:val="left" w:pos="2231"/>
        </w:tabs>
        <w:ind w:left="2231" w:hanging="420"/>
      </w:pPr>
    </w:lvl>
    <w:lvl w:ilvl="4" w:tentative="0">
      <w:start w:val="1"/>
      <w:numFmt w:val="lowerLetter"/>
      <w:lvlText w:val="%5)"/>
      <w:lvlJc w:val="left"/>
      <w:pPr>
        <w:tabs>
          <w:tab w:val="left" w:pos="2651"/>
        </w:tabs>
        <w:ind w:left="2651" w:hanging="420"/>
      </w:pPr>
    </w:lvl>
    <w:lvl w:ilvl="5" w:tentative="0">
      <w:start w:val="1"/>
      <w:numFmt w:val="lowerRoman"/>
      <w:lvlText w:val="%6."/>
      <w:lvlJc w:val="right"/>
      <w:pPr>
        <w:tabs>
          <w:tab w:val="left" w:pos="3071"/>
        </w:tabs>
        <w:ind w:left="3071" w:hanging="420"/>
      </w:pPr>
    </w:lvl>
    <w:lvl w:ilvl="6" w:tentative="0">
      <w:start w:val="1"/>
      <w:numFmt w:val="decimal"/>
      <w:lvlText w:val="%7."/>
      <w:lvlJc w:val="left"/>
      <w:pPr>
        <w:tabs>
          <w:tab w:val="left" w:pos="3491"/>
        </w:tabs>
        <w:ind w:left="3491" w:hanging="420"/>
      </w:pPr>
    </w:lvl>
    <w:lvl w:ilvl="7" w:tentative="0">
      <w:start w:val="1"/>
      <w:numFmt w:val="lowerLetter"/>
      <w:lvlText w:val="%8)"/>
      <w:lvlJc w:val="left"/>
      <w:pPr>
        <w:tabs>
          <w:tab w:val="left" w:pos="3911"/>
        </w:tabs>
        <w:ind w:left="3911" w:hanging="420"/>
      </w:pPr>
    </w:lvl>
    <w:lvl w:ilvl="8" w:tentative="0">
      <w:start w:val="1"/>
      <w:numFmt w:val="lowerRoman"/>
      <w:lvlText w:val="%9."/>
      <w:lvlJc w:val="right"/>
      <w:pPr>
        <w:tabs>
          <w:tab w:val="left" w:pos="4331"/>
        </w:tabs>
        <w:ind w:left="4331" w:hanging="420"/>
      </w:pPr>
    </w:lvl>
  </w:abstractNum>
  <w:abstractNum w:abstractNumId="21">
    <w:nsid w:val="5DAEC309"/>
    <w:multiLevelType w:val="singleLevel"/>
    <w:tmpl w:val="5DAEC309"/>
    <w:lvl w:ilvl="0" w:tentative="0">
      <w:start w:val="1"/>
      <w:numFmt w:val="decimal"/>
      <w:lvlText w:val="(%1)"/>
      <w:lvlJc w:val="left"/>
      <w:pPr>
        <w:ind w:left="425" w:hanging="425"/>
      </w:pPr>
      <w:rPr>
        <w:rFonts w:hint="default"/>
      </w:rPr>
    </w:lvl>
  </w:abstractNum>
  <w:abstractNum w:abstractNumId="22">
    <w:nsid w:val="5F5806E7"/>
    <w:multiLevelType w:val="multilevel"/>
    <w:tmpl w:val="5F5806E7"/>
    <w:lvl w:ilvl="0" w:tentative="0">
      <w:start w:val="1"/>
      <w:numFmt w:val="decimal"/>
      <w:lvlText w:val="%1、"/>
      <w:lvlJc w:val="left"/>
      <w:pPr>
        <w:ind w:left="780" w:hanging="4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2"/>
  </w:num>
  <w:num w:numId="2">
    <w:abstractNumId w:val="20"/>
  </w:num>
  <w:num w:numId="3">
    <w:abstractNumId w:val="7"/>
  </w:num>
  <w:num w:numId="4">
    <w:abstractNumId w:val="5"/>
  </w:num>
  <w:num w:numId="5">
    <w:abstractNumId w:val="1"/>
  </w:num>
  <w:num w:numId="6">
    <w:abstractNumId w:val="10"/>
  </w:num>
  <w:num w:numId="7">
    <w:abstractNumId w:val="3"/>
  </w:num>
  <w:num w:numId="8">
    <w:abstractNumId w:val="17"/>
  </w:num>
  <w:num w:numId="9">
    <w:abstractNumId w:val="4"/>
  </w:num>
  <w:num w:numId="10">
    <w:abstractNumId w:val="13"/>
  </w:num>
  <w:num w:numId="11">
    <w:abstractNumId w:val="18"/>
  </w:num>
  <w:num w:numId="12">
    <w:abstractNumId w:val="16"/>
  </w:num>
  <w:num w:numId="13">
    <w:abstractNumId w:val="11"/>
  </w:num>
  <w:num w:numId="14">
    <w:abstractNumId w:val="2"/>
  </w:num>
  <w:num w:numId="15">
    <w:abstractNumId w:val="21"/>
  </w:num>
  <w:num w:numId="16">
    <w:abstractNumId w:val="9"/>
  </w:num>
  <w:num w:numId="17">
    <w:abstractNumId w:val="19"/>
  </w:num>
  <w:num w:numId="18">
    <w:abstractNumId w:val="0"/>
  </w:num>
  <w:num w:numId="19">
    <w:abstractNumId w:val="6"/>
  </w:num>
  <w:num w:numId="20">
    <w:abstractNumId w:val="22"/>
  </w:num>
  <w:num w:numId="21">
    <w:abstractNumId w:val="15"/>
  </w:num>
  <w:num w:numId="22">
    <w:abstractNumId w:val="14"/>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AA40E6"/>
    <w:rsid w:val="00012CD8"/>
    <w:rsid w:val="000D4B29"/>
    <w:rsid w:val="00285C07"/>
    <w:rsid w:val="002F117D"/>
    <w:rsid w:val="00305DFB"/>
    <w:rsid w:val="0040639D"/>
    <w:rsid w:val="00464C01"/>
    <w:rsid w:val="004B22A0"/>
    <w:rsid w:val="0057212D"/>
    <w:rsid w:val="005F101D"/>
    <w:rsid w:val="00691B88"/>
    <w:rsid w:val="00782FD0"/>
    <w:rsid w:val="007D05D1"/>
    <w:rsid w:val="008522BD"/>
    <w:rsid w:val="008B0F35"/>
    <w:rsid w:val="00942C0A"/>
    <w:rsid w:val="00975FEC"/>
    <w:rsid w:val="00AA40E6"/>
    <w:rsid w:val="00AC7791"/>
    <w:rsid w:val="00B12E5E"/>
    <w:rsid w:val="00C23976"/>
    <w:rsid w:val="00C97769"/>
    <w:rsid w:val="00E57351"/>
    <w:rsid w:val="00F43117"/>
    <w:rsid w:val="00F46CA4"/>
    <w:rsid w:val="03423A23"/>
    <w:rsid w:val="082A1775"/>
    <w:rsid w:val="1E841893"/>
    <w:rsid w:val="20DC131C"/>
    <w:rsid w:val="242F484E"/>
    <w:rsid w:val="2A311530"/>
    <w:rsid w:val="2C0A4AEB"/>
    <w:rsid w:val="334A580C"/>
    <w:rsid w:val="3CB04632"/>
    <w:rsid w:val="66F84F39"/>
    <w:rsid w:val="77293857"/>
    <w:rsid w:val="7A455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3"/>
    <w:basedOn w:val="1"/>
    <w:next w:val="1"/>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10"/>
    </w:pPr>
  </w:style>
  <w:style w:type="paragraph" w:styleId="3">
    <w:name w:val="Body Text Indent"/>
    <w:basedOn w:val="1"/>
    <w:qFormat/>
    <w:uiPriority w:val="0"/>
    <w:pPr>
      <w:ind w:firstLine="501" w:firstLineChars="179"/>
    </w:pPr>
    <w:rPr>
      <w:sz w:val="28"/>
    </w:rPr>
  </w:style>
  <w:style w:type="paragraph" w:styleId="6">
    <w:name w:val="Plain Text"/>
    <w:basedOn w:val="1"/>
    <w:qFormat/>
    <w:uiPriority w:val="0"/>
    <w:rPr>
      <w:rFonts w:ascii="宋体" w:hAnsi="Courier New" w:cs="Courier New"/>
      <w:szCs w:val="21"/>
    </w:rPr>
  </w:style>
  <w:style w:type="paragraph" w:styleId="7">
    <w:name w:val="Date"/>
    <w:basedOn w:val="1"/>
    <w:next w:val="1"/>
    <w:link w:val="16"/>
    <w:semiHidden/>
    <w:unhideWhenUsed/>
    <w:qFormat/>
    <w:uiPriority w:val="99"/>
    <w:pPr>
      <w:ind w:left="100" w:leftChars="2500"/>
    </w:pPr>
  </w:style>
  <w:style w:type="paragraph" w:styleId="8">
    <w:name w:val="footer"/>
    <w:basedOn w:val="1"/>
    <w:link w:val="19"/>
    <w:semiHidden/>
    <w:unhideWhenUsed/>
    <w:qFormat/>
    <w:uiPriority w:val="99"/>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Title"/>
    <w:basedOn w:val="1"/>
    <w:next w:val="1"/>
    <w:link w:val="18"/>
    <w:qFormat/>
    <w:uiPriority w:val="0"/>
    <w:pPr>
      <w:spacing w:before="240" w:after="60"/>
      <w:jc w:val="center"/>
      <w:outlineLvl w:val="0"/>
    </w:pPr>
    <w:rPr>
      <w:rFonts w:ascii="Cambria" w:hAnsi="Cambria" w:eastAsia="宋体" w:cs="Times New Roman"/>
      <w:b/>
      <w:bCs/>
      <w:kern w:val="0"/>
      <w:sz w:val="32"/>
      <w:szCs w:val="32"/>
    </w:rPr>
  </w:style>
  <w:style w:type="character" w:styleId="14">
    <w:name w:val="page number"/>
    <w:qFormat/>
    <w:uiPriority w:val="99"/>
    <w:rPr>
      <w:rFonts w:cs="Times New Roman"/>
    </w:rPr>
  </w:style>
  <w:style w:type="character" w:styleId="15">
    <w:name w:val="annotation reference"/>
    <w:unhideWhenUsed/>
    <w:qFormat/>
    <w:uiPriority w:val="99"/>
    <w:rPr>
      <w:sz w:val="21"/>
      <w:szCs w:val="21"/>
    </w:rPr>
  </w:style>
  <w:style w:type="character" w:customStyle="1" w:styleId="16">
    <w:name w:val="日期 Char"/>
    <w:basedOn w:val="13"/>
    <w:link w:val="7"/>
    <w:semiHidden/>
    <w:qFormat/>
    <w:uiPriority w:val="99"/>
  </w:style>
  <w:style w:type="character" w:customStyle="1" w:styleId="17">
    <w:name w:val="页眉 Char"/>
    <w:basedOn w:val="13"/>
    <w:link w:val="9"/>
    <w:qFormat/>
    <w:uiPriority w:val="0"/>
    <w:rPr>
      <w:rFonts w:ascii="Times New Roman" w:hAnsi="Times New Roman" w:eastAsia="宋体" w:cs="Times New Roman"/>
      <w:sz w:val="18"/>
      <w:szCs w:val="18"/>
    </w:rPr>
  </w:style>
  <w:style w:type="character" w:customStyle="1" w:styleId="18">
    <w:name w:val="标题 Char"/>
    <w:basedOn w:val="13"/>
    <w:link w:val="11"/>
    <w:qFormat/>
    <w:uiPriority w:val="0"/>
    <w:rPr>
      <w:rFonts w:ascii="Cambria" w:hAnsi="Cambria" w:eastAsia="宋体" w:cs="Times New Roman"/>
      <w:b/>
      <w:bCs/>
      <w:kern w:val="0"/>
      <w:sz w:val="32"/>
      <w:szCs w:val="32"/>
    </w:rPr>
  </w:style>
  <w:style w:type="character" w:customStyle="1" w:styleId="19">
    <w:name w:val="页脚 Char"/>
    <w:basedOn w:val="13"/>
    <w:link w:val="8"/>
    <w:semiHidden/>
    <w:qFormat/>
    <w:uiPriority w:val="99"/>
    <w:rPr>
      <w:sz w:val="18"/>
      <w:szCs w:val="18"/>
    </w:rPr>
  </w:style>
  <w:style w:type="character" w:customStyle="1" w:styleId="20">
    <w:name w:val="font01"/>
    <w:qFormat/>
    <w:uiPriority w:val="0"/>
    <w:rPr>
      <w:rFonts w:hint="eastAsia" w:ascii="宋体" w:hAnsi="宋体" w:eastAsia="宋体" w:cs="宋体"/>
      <w:color w:val="000000"/>
      <w:sz w:val="20"/>
      <w:szCs w:val="20"/>
      <w:u w:val="none"/>
    </w:rPr>
  </w:style>
  <w:style w:type="character" w:customStyle="1" w:styleId="21">
    <w:name w:val="font31"/>
    <w:qFormat/>
    <w:uiPriority w:val="0"/>
    <w:rPr>
      <w:rFonts w:hint="default" w:ascii="Times New Roman" w:hAnsi="Times New Roman" w:cs="Times New Roman"/>
      <w:color w:val="000000"/>
      <w:sz w:val="20"/>
      <w:szCs w:val="20"/>
      <w:u w:val="none"/>
    </w:rPr>
  </w:style>
  <w:style w:type="paragraph" w:customStyle="1" w:styleId="22">
    <w:name w:val="F5"/>
    <w:basedOn w:val="4"/>
    <w:next w:val="23"/>
    <w:qFormat/>
    <w:uiPriority w:val="0"/>
    <w:pPr>
      <w:numPr>
        <w:ilvl w:val="4"/>
        <w:numId w:val="1"/>
      </w:numPr>
      <w:tabs>
        <w:tab w:val="left" w:pos="2580"/>
        <w:tab w:val="clear" w:pos="420"/>
      </w:tabs>
      <w:spacing w:before="60" w:after="60" w:line="240" w:lineRule="auto"/>
      <w:ind w:left="2580"/>
      <w:jc w:val="left"/>
      <w:outlineLvl w:val="4"/>
    </w:pPr>
    <w:rPr>
      <w:rFonts w:eastAsia="华文中宋"/>
      <w:sz w:val="24"/>
      <w:szCs w:val="21"/>
    </w:rPr>
  </w:style>
  <w:style w:type="paragraph" w:customStyle="1" w:styleId="23">
    <w:name w:val="F正文"/>
    <w:basedOn w:val="1"/>
    <w:qFormat/>
    <w:uiPriority w:val="0"/>
    <w:pPr>
      <w:spacing w:before="60" w:after="60" w:line="264" w:lineRule="auto"/>
    </w:pPr>
    <w:rPr>
      <w:rFonts w:ascii="宋体" w:hAnsi="Microsoft Sans Serif"/>
      <w:bCs/>
      <w:sz w:val="18"/>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35</Pages>
  <Words>9496</Words>
  <Characters>9682</Characters>
  <Lines>272</Lines>
  <Paragraphs>76</Paragraphs>
  <TotalTime>3</TotalTime>
  <ScaleCrop>false</ScaleCrop>
  <LinksUpToDate>false</LinksUpToDate>
  <CharactersWithSpaces>23727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2021-05-20T00:16:00Z</dcterms:created>
  <dc:creator>HASEE</dc:creator>
  <cp:lastModifiedBy>王先帅</cp:lastModifiedBy>
  <dcterms:modified xsi:type="dcterms:W3CDTF">2025-05-27T11:40:17Z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35B33FFF35A0416794C77E61872DEB0B</vt:lpwstr>
  </property>
  <property fmtid="{D5CDD505-2E9C-101B-9397-08002B2CF9AE}" pid="4" name="KSOTemplateDocerSaveRecord">
    <vt:lpwstr>eyJoZGlkIjoiNzEwODg2ZjliZGNmOWRiNTM3YTQ5MDE4NzI5Y2VmM2IiLCJ1c2VySWQiOiI0MDM0NDIxMzIifQ==</vt:lpwstr>
  </property>
</Properties>
</file>