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0448DF">
      <w:pPr>
        <w:adjustRightInd w:val="0"/>
        <w:snapToGrid w:val="0"/>
        <w:ind w:firstLine="0" w:firstLineChars="0"/>
        <w:jc w:val="center"/>
        <w:rPr>
          <w:rFonts w:hint="eastAsia" w:ascii="宋体" w:hAnsi="宋体" w:cs="宋体"/>
          <w:sz w:val="72"/>
          <w:szCs w:val="72"/>
        </w:rPr>
      </w:pPr>
    </w:p>
    <w:p w14:paraId="526C692E">
      <w:pPr>
        <w:adjustRightInd w:val="0"/>
        <w:snapToGrid w:val="0"/>
        <w:ind w:firstLine="0" w:firstLineChars="0"/>
        <w:jc w:val="center"/>
        <w:rPr>
          <w:rFonts w:hint="eastAsia" w:ascii="宋体" w:hAnsi="宋体" w:cs="宋体"/>
          <w:sz w:val="72"/>
          <w:szCs w:val="72"/>
        </w:rPr>
      </w:pPr>
      <w:r>
        <w:rPr>
          <w:rFonts w:hint="eastAsia" w:ascii="宋体" w:hAnsi="宋体" w:cs="宋体"/>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1987550</wp:posOffset>
                </wp:positionV>
                <wp:extent cx="6280785" cy="1856105"/>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1856105"/>
                        </a:xfrm>
                        <a:prstGeom prst="rect">
                          <a:avLst/>
                        </a:prstGeom>
                        <a:noFill/>
                        <a:ln>
                          <a:noFill/>
                        </a:ln>
                      </wps:spPr>
                      <wps:txbx>
                        <w:txbxContent>
                          <w:p w14:paraId="7FEEC182">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rPr>
                              <w:t>AI金融计量教学平台</w:t>
                            </w:r>
                          </w:p>
                        </w:txbxContent>
                      </wps:txbx>
                      <wps:bodyPr upright="1"/>
                    </wps:wsp>
                  </a:graphicData>
                </a:graphic>
              </wp:anchor>
            </w:drawing>
          </mc:Choice>
          <mc:Fallback>
            <w:pict>
              <v:shape id="文本框 9" o:spid="_x0000_s1026" o:spt="202" type="#_x0000_t202" style="position:absolute;left:0pt;margin-left:-35.05pt;margin-top:156.5pt;height:146.15pt;width:494.55pt;mso-position-vertical-relative:page;z-index:251659264;mso-width-relative:page;mso-height-relative:page;" filled="f" stroked="f" coordsize="21600,21600" o:gfxdata="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CpDxtF2AAAAAsBAAAPAAAAAAAAAAEAIAAAACIAAABkcnMvZG93bnJldi54bWxQSwECFAAUAAAA&#10;CACHTuJAErttI7UBAABYAwAADgAAAAAAAAABACAAAAAnAQAAZHJzL2Uyb0RvYy54bWxQSwUGAAAA&#10;AAYABgBZAQAATgUAAAAA&#10;">
                <v:fill on="f" focussize="0,0"/>
                <v:stroke on="f"/>
                <v:imagedata o:title=""/>
                <o:lock v:ext="edit" aspectratio="f"/>
                <v:textbox>
                  <w:txbxContent>
                    <w:p w14:paraId="7FEEC182">
                      <w:pPr>
                        <w:ind w:firstLine="0" w:firstLineChars="0"/>
                        <w:jc w:val="center"/>
                        <w:rPr>
                          <w:rFonts w:hint="eastAsia" w:ascii="微软雅黑" w:hAnsi="微软雅黑" w:eastAsia="微软雅黑" w:cs="微软雅黑"/>
                          <w:b/>
                          <w:bCs/>
                          <w:sz w:val="96"/>
                          <w:szCs w:val="96"/>
                        </w:rPr>
                      </w:pPr>
                      <w:r>
                        <w:rPr>
                          <w:rFonts w:hint="eastAsia" w:ascii="微软雅黑" w:hAnsi="微软雅黑" w:eastAsia="微软雅黑" w:cs="微软雅黑"/>
                          <w:b/>
                          <w:bCs/>
                          <w:color w:val="FF0000"/>
                          <w:sz w:val="96"/>
                          <w:szCs w:val="96"/>
                        </w:rPr>
                        <w:t>AI金融计量教学平台</w:t>
                      </w:r>
                    </w:p>
                  </w:txbxContent>
                </v:textbox>
              </v:shape>
            </w:pict>
          </mc:Fallback>
        </mc:AlternateContent>
      </w:r>
    </w:p>
    <w:p w14:paraId="240BDF35">
      <w:pPr>
        <w:adjustRightInd w:val="0"/>
        <w:snapToGrid w:val="0"/>
        <w:ind w:firstLine="0" w:firstLineChars="0"/>
        <w:jc w:val="center"/>
        <w:rPr>
          <w:rFonts w:hint="eastAsia" w:ascii="宋体" w:hAnsi="宋体" w:cs="宋体"/>
          <w:sz w:val="72"/>
          <w:szCs w:val="72"/>
        </w:rPr>
      </w:pPr>
    </w:p>
    <w:p w14:paraId="767EB164">
      <w:pPr>
        <w:adjustRightInd w:val="0"/>
        <w:snapToGrid w:val="0"/>
        <w:ind w:firstLine="0" w:firstLineChars="0"/>
        <w:jc w:val="center"/>
        <w:rPr>
          <w:rFonts w:hint="eastAsia" w:ascii="宋体" w:hAnsi="宋体" w:cs="宋体"/>
          <w:b/>
          <w:bCs/>
          <w:sz w:val="52"/>
          <w:szCs w:val="52"/>
        </w:rPr>
      </w:pPr>
    </w:p>
    <w:p w14:paraId="756851EB">
      <w:pPr>
        <w:adjustRightInd w:val="0"/>
        <w:snapToGrid w:val="0"/>
        <w:ind w:firstLine="0" w:firstLineChars="0"/>
        <w:rPr>
          <w:rFonts w:hint="eastAsia" w:ascii="宋体" w:hAnsi="宋体" w:cs="宋体"/>
          <w:b/>
          <w:bCs/>
          <w:sz w:val="52"/>
          <w:szCs w:val="52"/>
        </w:rPr>
      </w:pPr>
    </w:p>
    <w:p w14:paraId="3E1BA9AB">
      <w:pPr>
        <w:adjustRightInd w:val="0"/>
        <w:snapToGrid w:val="0"/>
        <w:ind w:firstLine="0" w:firstLineChars="0"/>
        <w:jc w:val="right"/>
        <w:rPr>
          <w:rFonts w:hint="eastAsia" w:ascii="宋体" w:hAnsi="宋体" w:cs="宋体"/>
          <w:b/>
          <w:bCs/>
          <w:color w:val="7E7E7E"/>
          <w:sz w:val="60"/>
          <w:szCs w:val="60"/>
        </w:rPr>
      </w:pPr>
      <w:r>
        <w:rPr>
          <w:rFonts w:hint="eastAsia" w:ascii="宋体" w:hAnsi="宋体" w:cs="宋体"/>
          <w:b/>
          <w:bCs/>
          <w:color w:val="7E7E7E"/>
          <w:sz w:val="60"/>
          <w:szCs w:val="60"/>
        </w:rPr>
        <w:t>——实训方案</w:t>
      </w:r>
    </w:p>
    <w:p w14:paraId="4648E45B">
      <w:pPr>
        <w:adjustRightInd w:val="0"/>
        <w:snapToGrid w:val="0"/>
        <w:ind w:firstLine="0" w:firstLineChars="0"/>
        <w:jc w:val="center"/>
        <w:rPr>
          <w:rFonts w:hint="eastAsia" w:ascii="宋体" w:hAnsi="宋体" w:cs="宋体"/>
          <w:b/>
          <w:bCs/>
          <w:sz w:val="48"/>
          <w:szCs w:val="48"/>
        </w:rPr>
      </w:pPr>
    </w:p>
    <w:p w14:paraId="756D4BBA">
      <w:pPr>
        <w:pStyle w:val="23"/>
        <w:adjustRightInd w:val="0"/>
        <w:snapToGrid w:val="0"/>
        <w:spacing w:after="0"/>
        <w:ind w:left="0" w:leftChars="0" w:firstLine="0" w:firstLineChars="0"/>
        <w:rPr>
          <w:rFonts w:hint="eastAsia" w:ascii="宋体" w:hAnsi="宋体" w:cs="宋体"/>
        </w:rPr>
      </w:pPr>
      <w:r>
        <w:drawing>
          <wp:anchor distT="0" distB="0" distL="114300" distR="114300" simplePos="0" relativeHeight="251660288" behindDoc="0" locked="0" layoutInCell="1" allowOverlap="1">
            <wp:simplePos x="0" y="0"/>
            <wp:positionH relativeFrom="column">
              <wp:posOffset>2200275</wp:posOffset>
            </wp:positionH>
            <wp:positionV relativeFrom="paragraph">
              <wp:posOffset>53975</wp:posOffset>
            </wp:positionV>
            <wp:extent cx="1431290" cy="1661795"/>
            <wp:effectExtent l="0" t="0" r="1270" b="14605"/>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1431290" cy="1661795"/>
                    </a:xfrm>
                    <a:prstGeom prst="rect">
                      <a:avLst/>
                    </a:prstGeom>
                    <a:noFill/>
                    <a:ln>
                      <a:noFill/>
                    </a:ln>
                  </pic:spPr>
                </pic:pic>
              </a:graphicData>
            </a:graphic>
          </wp:anchor>
        </w:drawing>
      </w:r>
    </w:p>
    <w:p w14:paraId="7CFF0226">
      <w:pPr>
        <w:pStyle w:val="23"/>
        <w:adjustRightInd w:val="0"/>
        <w:snapToGrid w:val="0"/>
        <w:spacing w:after="0"/>
        <w:ind w:left="0" w:leftChars="0" w:firstLine="0" w:firstLineChars="0"/>
        <w:rPr>
          <w:rFonts w:hint="eastAsia" w:ascii="宋体" w:hAnsi="宋体" w:cs="宋体"/>
        </w:rPr>
      </w:pPr>
    </w:p>
    <w:p w14:paraId="5E025514">
      <w:pPr>
        <w:adjustRightInd w:val="0"/>
        <w:snapToGrid w:val="0"/>
        <w:ind w:firstLine="0" w:firstLineChars="0"/>
        <w:jc w:val="center"/>
        <w:rPr>
          <w:rFonts w:hint="eastAsia" w:ascii="宋体" w:hAnsi="宋体" w:cs="宋体"/>
          <w:b/>
          <w:bCs/>
          <w:sz w:val="48"/>
          <w:szCs w:val="48"/>
        </w:rPr>
      </w:pPr>
    </w:p>
    <w:p w14:paraId="1A86C20D">
      <w:pPr>
        <w:adjustRightInd w:val="0"/>
        <w:snapToGrid w:val="0"/>
        <w:ind w:firstLine="560"/>
        <w:rPr>
          <w:rFonts w:hint="eastAsia" w:ascii="宋体" w:hAnsi="宋体" w:cs="宋体"/>
        </w:rPr>
      </w:pPr>
      <w:r>
        <w:rPr>
          <w:rFonts w:hint="eastAsia" w:ascii="宋体" w:hAnsi="宋体" w:cs="宋体"/>
        </w:rPr>
        <w:t xml:space="preserve">         </w:t>
      </w:r>
    </w:p>
    <w:p w14:paraId="3ECF21C6">
      <w:pPr>
        <w:adjustRightInd w:val="0"/>
        <w:snapToGrid w:val="0"/>
        <w:ind w:firstLine="560"/>
        <w:jc w:val="center"/>
        <w:rPr>
          <w:rFonts w:hint="eastAsia" w:ascii="宋体" w:hAnsi="宋体" w:cs="宋体"/>
        </w:rPr>
      </w:pPr>
    </w:p>
    <w:p w14:paraId="2B4F737C">
      <w:pPr>
        <w:adjustRightInd w:val="0"/>
        <w:snapToGrid w:val="0"/>
        <w:ind w:firstLine="0" w:firstLineChars="0"/>
        <w:rPr>
          <w:rFonts w:hint="eastAsia" w:ascii="宋体" w:hAnsi="宋体" w:cs="宋体"/>
        </w:rPr>
      </w:pPr>
    </w:p>
    <w:p w14:paraId="220E2B9F">
      <w:pPr>
        <w:adjustRightInd w:val="0"/>
        <w:snapToGrid w:val="0"/>
        <w:ind w:firstLine="560"/>
        <w:jc w:val="center"/>
        <w:rPr>
          <w:rFonts w:hint="eastAsia" w:ascii="宋体" w:hAnsi="宋体" w:cs="宋体"/>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ascii="宋体" w:hAnsi="宋体" w:cs="宋体"/>
        </w:rPr>
        <w:drawing>
          <wp:inline distT="0" distB="0" distL="0" distR="0">
            <wp:extent cx="2258695" cy="402590"/>
            <wp:effectExtent l="0" t="0" r="12065" b="889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sdt>
      <w:sdtPr>
        <w:rPr>
          <w:rFonts w:ascii="宋体" w:hAnsi="宋体"/>
          <w:sz w:val="21"/>
        </w:rPr>
        <w:id w:val="147453612"/>
        <w15:color w:val="DBDBDB"/>
        <w:docPartObj>
          <w:docPartGallery w:val="Table of Contents"/>
          <w:docPartUnique/>
        </w:docPartObj>
      </w:sdtPr>
      <w:sdtEndPr>
        <w:rPr>
          <w:rFonts w:hint="eastAsia" w:ascii="宋体" w:hAnsi="宋体" w:cs="宋体"/>
          <w:sz w:val="28"/>
        </w:rPr>
      </w:sdtEndPr>
      <w:sdtContent>
        <w:p w14:paraId="14AC48DB">
          <w:pPr>
            <w:adjustRightInd w:val="0"/>
            <w:snapToGrid w:val="0"/>
            <w:ind w:firstLine="0" w:firstLineChars="0"/>
            <w:jc w:val="center"/>
            <w:rPr>
              <w:rFonts w:hint="eastAsia" w:ascii="宋体" w:hAnsi="宋体" w:cs="宋体"/>
              <w:b/>
              <w:bCs/>
              <w:szCs w:val="28"/>
            </w:rPr>
          </w:pPr>
          <w:r>
            <w:rPr>
              <w:rFonts w:hint="eastAsia" w:ascii="宋体" w:hAnsi="宋体" w:cs="宋体"/>
              <w:b/>
              <w:bCs/>
              <w:szCs w:val="28"/>
            </w:rPr>
            <w:t>目录</w:t>
          </w:r>
        </w:p>
        <w:p w14:paraId="7CAC64E0">
          <w:pPr>
            <w:pStyle w:val="14"/>
            <w:tabs>
              <w:tab w:val="right" w:leader="dot" w:pos="8306"/>
            </w:tabs>
            <w:rPr>
              <w:rFonts w:hint="eastAsia" w:ascii="宋体" w:hAnsi="宋体" w:eastAsia="宋体" w:cs="宋体"/>
              <w:sz w:val="21"/>
              <w:szCs w:val="21"/>
            </w:rPr>
          </w:pPr>
          <w:r>
            <w:rPr>
              <w:rFonts w:hint="eastAsia" w:ascii="宋体" w:hAnsi="宋体" w:cs="宋体"/>
            </w:rPr>
            <w:fldChar w:fldCharType="begin"/>
          </w:r>
          <w:r>
            <w:rPr>
              <w:rFonts w:hint="eastAsia" w:ascii="宋体" w:hAnsi="宋体" w:cs="宋体"/>
            </w:rPr>
            <w:instrText xml:space="preserve">TOC \o "1-3" \h \u </w:instrText>
          </w:r>
          <w:r>
            <w:rPr>
              <w:rFonts w:hint="eastAsia" w:ascii="宋体" w:hAnsi="宋体" w:cs="宋体"/>
            </w:rPr>
            <w:fldChar w:fldCharType="separate"/>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_Toc21085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一、 </w:t>
          </w:r>
          <w:r>
            <w:rPr>
              <w:rFonts w:hint="eastAsia" w:ascii="宋体" w:hAnsi="宋体" w:eastAsia="宋体" w:cs="宋体"/>
              <w:sz w:val="21"/>
              <w:szCs w:val="21"/>
            </w:rPr>
            <w:t>平台介绍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_Toc21085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0F93F93">
          <w:pPr>
            <w:pStyle w:val="14"/>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_Toc14513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二、 </w:t>
          </w:r>
          <w:r>
            <w:rPr>
              <w:rFonts w:hint="eastAsia" w:ascii="宋体" w:hAnsi="宋体" w:eastAsia="宋体" w:cs="宋体"/>
              <w:sz w:val="21"/>
              <w:szCs w:val="21"/>
            </w:rPr>
            <w:t>课程定位</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_Toc14513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F21C1A5">
          <w:pPr>
            <w:pStyle w:val="14"/>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_Toc31436 </w:instrText>
          </w:r>
          <w:r>
            <w:rPr>
              <w:rFonts w:hint="eastAsia" w:ascii="宋体" w:hAnsi="宋体" w:eastAsia="宋体" w:cs="宋体"/>
              <w:sz w:val="21"/>
              <w:szCs w:val="21"/>
            </w:rPr>
            <w:fldChar w:fldCharType="separate"/>
          </w:r>
          <w:r>
            <w:rPr>
              <w:rFonts w:hint="eastAsia" w:ascii="宋体" w:hAnsi="宋体" w:eastAsia="宋体" w:cs="宋体"/>
              <w:bCs/>
              <w:sz w:val="21"/>
              <w:szCs w:val="21"/>
            </w:rPr>
            <w:t xml:space="preserve">三、 </w:t>
          </w:r>
          <w:r>
            <w:rPr>
              <w:rFonts w:hint="eastAsia" w:ascii="宋体" w:hAnsi="宋体" w:eastAsia="宋体" w:cs="宋体"/>
              <w:sz w:val="21"/>
              <w:szCs w:val="21"/>
            </w:rPr>
            <w:t>实验内容与项目概述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_Toc31436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FA44CBE">
          <w:pPr>
            <w:pStyle w:val="15"/>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_Toc10918 </w:instrText>
          </w:r>
          <w:r>
            <w:rPr>
              <w:rFonts w:hint="eastAsia" w:ascii="宋体" w:hAnsi="宋体" w:eastAsia="宋体" w:cs="宋体"/>
              <w:sz w:val="21"/>
              <w:szCs w:val="21"/>
            </w:rPr>
            <w:fldChar w:fldCharType="separate"/>
          </w:r>
          <w:r>
            <w:rPr>
              <w:rFonts w:hint="eastAsia" w:ascii="宋体" w:hAnsi="宋体" w:eastAsia="宋体" w:cs="宋体"/>
              <w:sz w:val="21"/>
              <w:szCs w:val="21"/>
              <w:lang w:eastAsia="zh-CN"/>
            </w:rPr>
            <w:t xml:space="preserve">（一） </w:t>
          </w:r>
          <w:r>
            <w:rPr>
              <w:rFonts w:hint="eastAsia" w:ascii="宋体" w:hAnsi="宋体" w:eastAsia="宋体" w:cs="宋体"/>
              <w:sz w:val="21"/>
              <w:szCs w:val="21"/>
              <w:lang w:val="en-US" w:eastAsia="zh-CN"/>
            </w:rPr>
            <w:t>AI科研平台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_Toc10918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7BC861B">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_Toc30788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1． AI+论文选题</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_Toc30788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7C94DA72">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_Toc30937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2． AI+数据推荐</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_Toc30937 \h </w:instrText>
          </w:r>
          <w:r>
            <w:rPr>
              <w:rFonts w:hint="eastAsia" w:ascii="宋体" w:hAnsi="宋体" w:eastAsia="宋体" w:cs="宋体"/>
              <w:sz w:val="21"/>
              <w:szCs w:val="21"/>
            </w:rPr>
            <w:fldChar w:fldCharType="separate"/>
          </w:r>
          <w:r>
            <w:rPr>
              <w:rFonts w:hint="eastAsia" w:ascii="宋体" w:hAnsi="宋体" w:eastAsia="宋体" w:cs="宋体"/>
              <w:sz w:val="21"/>
              <w:szCs w:val="21"/>
            </w:rPr>
            <w:t>6</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F7EB3F7">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_Toc30721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3． AI+实证分析</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_Toc30721 \h </w:instrText>
          </w:r>
          <w:r>
            <w:rPr>
              <w:rFonts w:hint="eastAsia" w:ascii="宋体" w:hAnsi="宋体" w:eastAsia="宋体" w:cs="宋体"/>
              <w:sz w:val="21"/>
              <w:szCs w:val="21"/>
            </w:rPr>
            <w:fldChar w:fldCharType="separate"/>
          </w:r>
          <w:r>
            <w:rPr>
              <w:rFonts w:hint="eastAsia" w:ascii="宋体" w:hAnsi="宋体" w:eastAsia="宋体" w:cs="宋体"/>
              <w:sz w:val="21"/>
              <w:szCs w:val="21"/>
            </w:rPr>
            <w:t>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877FE6B">
          <w:pPr>
            <w:pStyle w:val="15"/>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_Toc66 </w:instrText>
          </w:r>
          <w:r>
            <w:rPr>
              <w:rFonts w:hint="eastAsia" w:ascii="宋体" w:hAnsi="宋体" w:eastAsia="宋体" w:cs="宋体"/>
              <w:sz w:val="21"/>
              <w:szCs w:val="21"/>
            </w:rPr>
            <w:fldChar w:fldCharType="separate"/>
          </w:r>
          <w:r>
            <w:rPr>
              <w:rFonts w:hint="eastAsia" w:ascii="宋体" w:hAnsi="宋体" w:eastAsia="宋体" w:cs="宋体"/>
              <w:sz w:val="21"/>
              <w:szCs w:val="21"/>
              <w:lang w:val="en-US" w:eastAsia="zh-CN"/>
            </w:rPr>
            <w:t>（二） AI金融计量教学平台案例简介</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_Toc66 \h </w:instrText>
          </w:r>
          <w:r>
            <w:rPr>
              <w:rFonts w:hint="eastAsia" w:ascii="宋体" w:hAnsi="宋体" w:eastAsia="宋体" w:cs="宋体"/>
              <w:sz w:val="21"/>
              <w:szCs w:val="21"/>
            </w:rPr>
            <w:fldChar w:fldCharType="separate"/>
          </w:r>
          <w:r>
            <w:rPr>
              <w:rFonts w:hint="eastAsia" w:ascii="宋体" w:hAnsi="宋体" w:eastAsia="宋体" w:cs="宋体"/>
              <w:sz w:val="21"/>
              <w:szCs w:val="21"/>
            </w:rPr>
            <w:t>10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E90A2F4">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_Toc32002 </w:instrText>
          </w:r>
          <w:r>
            <w:rPr>
              <w:rFonts w:hint="eastAsia" w:ascii="宋体" w:hAnsi="宋体" w:eastAsia="宋体" w:cs="宋体"/>
              <w:sz w:val="21"/>
              <w:szCs w:val="21"/>
            </w:rPr>
            <w:fldChar w:fldCharType="separate"/>
          </w:r>
          <w:r>
            <w:rPr>
              <w:rFonts w:hint="eastAsia" w:ascii="宋体" w:hAnsi="宋体" w:eastAsia="宋体" w:cs="宋体"/>
              <w:sz w:val="21"/>
              <w:szCs w:val="21"/>
            </w:rPr>
            <w:t>1． 双向固定效应模型(管理层宏观经济认知与企业违约风险)</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_Toc32002 \h </w:instrText>
          </w:r>
          <w:r>
            <w:rPr>
              <w:rFonts w:hint="eastAsia" w:ascii="宋体" w:hAnsi="宋体" w:eastAsia="宋体" w:cs="宋体"/>
              <w:sz w:val="21"/>
              <w:szCs w:val="21"/>
            </w:rPr>
            <w:fldChar w:fldCharType="separate"/>
          </w:r>
          <w:r>
            <w:rPr>
              <w:rFonts w:hint="eastAsia" w:ascii="宋体" w:hAnsi="宋体" w:eastAsia="宋体" w:cs="宋体"/>
              <w:sz w:val="21"/>
              <w:szCs w:val="21"/>
            </w:rPr>
            <w:t>10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1DFAE81">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_Toc4650 </w:instrText>
          </w:r>
          <w:r>
            <w:rPr>
              <w:rFonts w:hint="eastAsia" w:ascii="宋体" w:hAnsi="宋体" w:eastAsia="宋体" w:cs="宋体"/>
              <w:sz w:val="21"/>
              <w:szCs w:val="21"/>
            </w:rPr>
            <w:fldChar w:fldCharType="separate"/>
          </w:r>
          <w:r>
            <w:rPr>
              <w:rFonts w:hint="eastAsia" w:ascii="宋体" w:hAnsi="宋体" w:eastAsia="宋体" w:cs="宋体"/>
              <w:sz w:val="21"/>
              <w:szCs w:val="21"/>
            </w:rPr>
            <w:t>2． 双向固定效应模型(管理层预期能否反映公司战略导向：基于行为经济学的研究)</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_Toc4650 \h </w:instrText>
          </w:r>
          <w:r>
            <w:rPr>
              <w:rFonts w:hint="eastAsia" w:ascii="宋体" w:hAnsi="宋体" w:eastAsia="宋体" w:cs="宋体"/>
              <w:sz w:val="21"/>
              <w:szCs w:val="21"/>
            </w:rPr>
            <w:fldChar w:fldCharType="separate"/>
          </w:r>
          <w:r>
            <w:rPr>
              <w:rFonts w:hint="eastAsia" w:ascii="宋体" w:hAnsi="宋体" w:eastAsia="宋体" w:cs="宋体"/>
              <w:sz w:val="21"/>
              <w:szCs w:val="21"/>
            </w:rPr>
            <w:t>12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21A6508">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_Toc3238 </w:instrText>
          </w:r>
          <w:r>
            <w:rPr>
              <w:rFonts w:hint="eastAsia" w:ascii="宋体" w:hAnsi="宋体" w:eastAsia="宋体" w:cs="宋体"/>
              <w:sz w:val="21"/>
              <w:szCs w:val="21"/>
            </w:rPr>
            <w:fldChar w:fldCharType="separate"/>
          </w:r>
          <w:r>
            <w:rPr>
              <w:rFonts w:hint="eastAsia" w:ascii="宋体" w:hAnsi="宋体" w:eastAsia="宋体" w:cs="宋体"/>
              <w:sz w:val="21"/>
              <w:szCs w:val="21"/>
            </w:rPr>
            <w:t>3． 固定效应模型(数字化转型与银行信贷配置—基于银行贷款投向实体经济的视角)</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_Toc3238 \h </w:instrText>
          </w:r>
          <w:r>
            <w:rPr>
              <w:rFonts w:hint="eastAsia" w:ascii="宋体" w:hAnsi="宋体" w:eastAsia="宋体" w:cs="宋体"/>
              <w:sz w:val="21"/>
              <w:szCs w:val="21"/>
            </w:rPr>
            <w:fldChar w:fldCharType="separate"/>
          </w:r>
          <w:r>
            <w:rPr>
              <w:rFonts w:hint="eastAsia" w:ascii="宋体" w:hAnsi="宋体" w:eastAsia="宋体" w:cs="宋体"/>
              <w:sz w:val="21"/>
              <w:szCs w:val="21"/>
            </w:rPr>
            <w:t>13</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E863CC2">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_Toc6856 </w:instrText>
          </w:r>
          <w:r>
            <w:rPr>
              <w:rFonts w:hint="eastAsia" w:ascii="宋体" w:hAnsi="宋体" w:eastAsia="宋体" w:cs="宋体"/>
              <w:sz w:val="21"/>
              <w:szCs w:val="21"/>
            </w:rPr>
            <w:fldChar w:fldCharType="separate"/>
          </w:r>
          <w:r>
            <w:rPr>
              <w:rFonts w:hint="eastAsia" w:ascii="宋体" w:hAnsi="宋体" w:eastAsia="宋体" w:cs="宋体"/>
              <w:sz w:val="21"/>
              <w:szCs w:val="21"/>
            </w:rPr>
            <w:t>4． 事件研究法（央行沟通公告有助于提升政策利率的传导效率吗）</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_Toc6856 \h </w:instrText>
          </w:r>
          <w:r>
            <w:rPr>
              <w:rFonts w:hint="eastAsia" w:ascii="宋体" w:hAnsi="宋体" w:eastAsia="宋体" w:cs="宋体"/>
              <w:sz w:val="21"/>
              <w:szCs w:val="21"/>
            </w:rPr>
            <w:fldChar w:fldCharType="separate"/>
          </w:r>
          <w:r>
            <w:rPr>
              <w:rFonts w:hint="eastAsia" w:ascii="宋体" w:hAnsi="宋体" w:eastAsia="宋体" w:cs="宋体"/>
              <w:sz w:val="21"/>
              <w:szCs w:val="21"/>
            </w:rPr>
            <w:t>15</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BAA5212">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_Toc13654 </w:instrText>
          </w:r>
          <w:r>
            <w:rPr>
              <w:rFonts w:hint="eastAsia" w:ascii="宋体" w:hAnsi="宋体" w:eastAsia="宋体" w:cs="宋体"/>
              <w:sz w:val="21"/>
              <w:szCs w:val="21"/>
            </w:rPr>
            <w:fldChar w:fldCharType="separate"/>
          </w:r>
          <w:r>
            <w:rPr>
              <w:rFonts w:hint="eastAsia" w:ascii="宋体" w:hAnsi="宋体" w:eastAsia="宋体" w:cs="宋体"/>
              <w:sz w:val="21"/>
              <w:szCs w:val="21"/>
            </w:rPr>
            <w:t>5． 倾向得分匹配+双重差分（延付高管薪酬对银行风险承担的政策效应—基于银行盈余管理动机视角的PSM-DID分析）</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_Toc13654 \h </w:instrText>
          </w:r>
          <w:r>
            <w:rPr>
              <w:rFonts w:hint="eastAsia" w:ascii="宋体" w:hAnsi="宋体" w:eastAsia="宋体" w:cs="宋体"/>
              <w:sz w:val="21"/>
              <w:szCs w:val="21"/>
            </w:rPr>
            <w:fldChar w:fldCharType="separate"/>
          </w:r>
          <w:r>
            <w:rPr>
              <w:rFonts w:hint="eastAsia" w:ascii="宋体" w:hAnsi="宋体" w:eastAsia="宋体" w:cs="宋体"/>
              <w:sz w:val="21"/>
              <w:szCs w:val="21"/>
            </w:rPr>
            <w:t>17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30873D4">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_Toc7613 </w:instrText>
          </w:r>
          <w:r>
            <w:rPr>
              <w:rFonts w:hint="eastAsia" w:ascii="宋体" w:hAnsi="宋体" w:eastAsia="宋体" w:cs="宋体"/>
              <w:sz w:val="21"/>
              <w:szCs w:val="21"/>
            </w:rPr>
            <w:fldChar w:fldCharType="separate"/>
          </w:r>
          <w:r>
            <w:rPr>
              <w:rFonts w:hint="eastAsia" w:ascii="宋体" w:hAnsi="宋体" w:eastAsia="宋体" w:cs="宋体"/>
              <w:sz w:val="21"/>
              <w:szCs w:val="21"/>
            </w:rPr>
            <w:t>6． 双重差分+三重差分（排污权交易机制是否提高了企业全要素生产率——来自中国上市公司的证据）</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_Toc7613 \h </w:instrText>
          </w:r>
          <w:r>
            <w:rPr>
              <w:rFonts w:hint="eastAsia" w:ascii="宋体" w:hAnsi="宋体" w:eastAsia="宋体" w:cs="宋体"/>
              <w:sz w:val="21"/>
              <w:szCs w:val="21"/>
            </w:rPr>
            <w:fldChar w:fldCharType="separate"/>
          </w:r>
          <w:r>
            <w:rPr>
              <w:rFonts w:hint="eastAsia" w:ascii="宋体" w:hAnsi="宋体" w:eastAsia="宋体" w:cs="宋体"/>
              <w:sz w:val="21"/>
              <w:szCs w:val="21"/>
            </w:rPr>
            <w:t>19</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4CFAEDB8">
          <w:pPr>
            <w:pStyle w:val="9"/>
            <w:tabs>
              <w:tab w:val="right" w:leader="dot" w:pos="8306"/>
            </w:tabs>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_Toc26500 </w:instrText>
          </w:r>
          <w:r>
            <w:rPr>
              <w:rFonts w:hint="eastAsia" w:ascii="宋体" w:hAnsi="宋体" w:eastAsia="宋体" w:cs="宋体"/>
              <w:sz w:val="21"/>
              <w:szCs w:val="21"/>
            </w:rPr>
            <w:fldChar w:fldCharType="separate"/>
          </w:r>
          <w:r>
            <w:rPr>
              <w:rFonts w:hint="eastAsia" w:ascii="宋体" w:hAnsi="宋体" w:eastAsia="宋体" w:cs="宋体"/>
              <w:sz w:val="21"/>
              <w:szCs w:val="21"/>
            </w:rPr>
            <w:t>7． 断点回归模型（环境规制与企业纳税遵从_效应、机制与改善路径）</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_Toc26500 \h </w:instrText>
          </w:r>
          <w:r>
            <w:rPr>
              <w:rFonts w:hint="eastAsia" w:ascii="宋体" w:hAnsi="宋体" w:eastAsia="宋体" w:cs="宋体"/>
              <w:sz w:val="21"/>
              <w:szCs w:val="21"/>
            </w:rPr>
            <w:fldChar w:fldCharType="separate"/>
          </w:r>
          <w:r>
            <w:rPr>
              <w:rFonts w:hint="eastAsia" w:ascii="宋体" w:hAnsi="宋体" w:eastAsia="宋体" w:cs="宋体"/>
              <w:sz w:val="21"/>
              <w:szCs w:val="21"/>
            </w:rPr>
            <w:t>20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4048B81">
          <w:pPr>
            <w:pStyle w:val="9"/>
            <w:tabs>
              <w:tab w:val="right" w:leader="dot" w:pos="8306"/>
            </w:tabs>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_Toc16298 </w:instrText>
          </w:r>
          <w:r>
            <w:rPr>
              <w:rFonts w:hint="eastAsia" w:ascii="宋体" w:hAnsi="宋体" w:eastAsia="宋体" w:cs="宋体"/>
              <w:sz w:val="21"/>
              <w:szCs w:val="21"/>
            </w:rPr>
            <w:fldChar w:fldCharType="separate"/>
          </w:r>
          <w:r>
            <w:rPr>
              <w:rFonts w:hint="eastAsia" w:ascii="宋体" w:hAnsi="宋体" w:eastAsia="宋体" w:cs="宋体"/>
              <w:sz w:val="21"/>
              <w:szCs w:val="21"/>
            </w:rPr>
            <w:t>8． 多时点双重差分模型（资本市场国际化的鞭策效应_A股纳入MSCI指数与企业ESG表现）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_Toc16298 \h </w:instrText>
          </w:r>
          <w:r>
            <w:rPr>
              <w:rFonts w:hint="eastAsia" w:ascii="宋体" w:hAnsi="宋体" w:eastAsia="宋体" w:cs="宋体"/>
              <w:sz w:val="21"/>
              <w:szCs w:val="21"/>
            </w:rPr>
            <w:fldChar w:fldCharType="separate"/>
          </w:r>
          <w:r>
            <w:rPr>
              <w:rFonts w:hint="eastAsia" w:ascii="宋体" w:hAnsi="宋体" w:eastAsia="宋体" w:cs="宋体"/>
              <w:sz w:val="21"/>
              <w:szCs w:val="21"/>
            </w:rPr>
            <w:t>22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2219720">
          <w:pPr>
            <w:adjustRightInd w:val="0"/>
            <w:snapToGrid w:val="0"/>
            <w:ind w:firstLine="560"/>
            <w:rPr>
              <w:rFonts w:hint="eastAsia" w:ascii="宋体" w:hAnsi="宋体" w:cs="宋体"/>
            </w:rPr>
          </w:pPr>
          <w:r>
            <w:rPr>
              <w:rFonts w:hint="eastAsia" w:ascii="宋体" w:hAnsi="宋体" w:cs="宋体"/>
            </w:rPr>
            <w:fldChar w:fldCharType="end"/>
          </w:r>
        </w:p>
      </w:sdtContent>
    </w:sdt>
    <w:p w14:paraId="3DAF8376">
      <w:pPr>
        <w:pStyle w:val="2"/>
        <w:ind w:left="560" w:firstLine="560"/>
      </w:pPr>
    </w:p>
    <w:p w14:paraId="115321BC">
      <w:pPr>
        <w:pStyle w:val="4"/>
        <w:adjustRightInd w:val="0"/>
        <w:snapToGrid w:val="0"/>
        <w:spacing w:before="0" w:after="0"/>
        <w:ind w:firstLine="403"/>
        <w:rPr>
          <w:rFonts w:hint="eastAsia" w:ascii="宋体" w:hAnsi="宋体" w:cs="宋体"/>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3D41D0EF">
      <w:pPr>
        <w:pStyle w:val="4"/>
        <w:numPr>
          <w:ilvl w:val="0"/>
          <w:numId w:val="1"/>
        </w:numPr>
        <w:bidi w:val="0"/>
        <w:rPr>
          <w:rFonts w:hint="eastAsia"/>
        </w:rPr>
      </w:pPr>
      <w:bookmarkStart w:id="2" w:name="_Toc15901"/>
      <w:bookmarkStart w:id="3" w:name="_Toc21126"/>
      <w:bookmarkStart w:id="4" w:name="_Toc21085"/>
      <w:r>
        <w:rPr>
          <w:rFonts w:hint="eastAsia"/>
        </w:rPr>
        <w:t>平台介绍</w:t>
      </w:r>
      <w:bookmarkEnd w:id="2"/>
      <w:bookmarkEnd w:id="3"/>
      <w:bookmarkEnd w:id="4"/>
    </w:p>
    <w:p w14:paraId="20F93E0A">
      <w:pPr>
        <w:adjustRightInd w:val="0"/>
        <w:snapToGrid w:val="0"/>
        <w:ind w:firstLine="420"/>
        <w:jc w:val="left"/>
        <w:rPr>
          <w:rFonts w:hint="eastAsia" w:ascii="宋体" w:hAnsi="宋体" w:cs="宋体"/>
          <w:sz w:val="21"/>
          <w:szCs w:val="21"/>
        </w:rPr>
      </w:pPr>
      <w:r>
        <w:rPr>
          <w:rFonts w:hint="eastAsia" w:ascii="宋体" w:hAnsi="宋体" w:cs="宋体"/>
          <w:sz w:val="21"/>
          <w:szCs w:val="21"/>
        </w:rPr>
        <w:t>AI金融计量教学平台基于AI、Python、stata技术，</w:t>
      </w:r>
      <w:r>
        <w:rPr>
          <w:rFonts w:hint="eastAsia" w:ascii="宋体" w:hAnsi="宋体" w:cs="宋体"/>
          <w:sz w:val="21"/>
          <w:szCs w:val="21"/>
          <w:lang w:val="en-US" w:eastAsia="zh-CN"/>
        </w:rPr>
        <w:t>搭载AI科研平台，含AI+论文选题、AI+数据推荐、AI+实证分析等模块，并</w:t>
      </w:r>
      <w:r>
        <w:rPr>
          <w:rFonts w:hint="eastAsia" w:ascii="宋体" w:hAnsi="宋体" w:cs="宋体"/>
          <w:sz w:val="21"/>
          <w:szCs w:val="21"/>
        </w:rPr>
        <w:t>通过顶刊论文案例复现操作，融合AI和机器学习展示数据，AI金融计量实验可实现读取数据、数据预处理、各类检验、数据可视化、特征工程、调试工具、stata计量建模分析等科研分析任务。实验案例涵盖</w:t>
      </w:r>
      <w:r>
        <w:rPr>
          <w:rFonts w:hint="eastAsia" w:ascii="宋体" w:hAnsi="宋体" w:cs="宋体"/>
          <w:b/>
          <w:bCs/>
          <w:sz w:val="21"/>
          <w:szCs w:val="21"/>
        </w:rPr>
        <w:t>8</w:t>
      </w:r>
      <w:r>
        <w:rPr>
          <w:rFonts w:hint="eastAsia" w:ascii="宋体" w:hAnsi="宋体" w:cs="宋体"/>
          <w:sz w:val="21"/>
          <w:szCs w:val="21"/>
        </w:rPr>
        <w:t>大案例，包括：</w:t>
      </w:r>
    </w:p>
    <w:p w14:paraId="14CDB79D">
      <w:pPr>
        <w:numPr>
          <w:ilvl w:val="0"/>
          <w:numId w:val="2"/>
        </w:numPr>
        <w:adjustRightInd w:val="0"/>
        <w:snapToGrid w:val="0"/>
        <w:ind w:firstLine="420"/>
        <w:jc w:val="left"/>
        <w:rPr>
          <w:rFonts w:hint="eastAsia" w:ascii="宋体" w:hAnsi="宋体" w:cs="宋体"/>
          <w:sz w:val="21"/>
          <w:szCs w:val="21"/>
        </w:rPr>
      </w:pPr>
      <w:bookmarkStart w:id="5" w:name="_Toc20636"/>
      <w:r>
        <w:rPr>
          <w:rFonts w:hint="eastAsia" w:ascii="宋体" w:hAnsi="宋体" w:cs="宋体"/>
          <w:sz w:val="21"/>
          <w:szCs w:val="21"/>
        </w:rPr>
        <w:t>双向固定效应模型(管理层宏观经济认知与企业违约风险)</w:t>
      </w:r>
      <w:bookmarkEnd w:id="5"/>
    </w:p>
    <w:p w14:paraId="3309BB6E">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双向固定效应模型(管理层预期能否反映公司战略导向：基于行为经济学的研究)</w:t>
      </w:r>
    </w:p>
    <w:p w14:paraId="17684A0C">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固定效应模型(数字化转型与银行信贷配置—基于银行贷款投向实体经济的视角)</w:t>
      </w:r>
    </w:p>
    <w:p w14:paraId="16ED7518">
      <w:pPr>
        <w:numPr>
          <w:ilvl w:val="0"/>
          <w:numId w:val="2"/>
        </w:numPr>
        <w:adjustRightInd w:val="0"/>
        <w:snapToGrid w:val="0"/>
        <w:ind w:firstLine="420"/>
        <w:jc w:val="left"/>
        <w:rPr>
          <w:rFonts w:hint="eastAsia" w:ascii="宋体" w:hAnsi="宋体" w:cs="宋体"/>
          <w:sz w:val="21"/>
          <w:szCs w:val="21"/>
        </w:rPr>
      </w:pPr>
      <w:bookmarkStart w:id="6" w:name="_Toc4114"/>
      <w:r>
        <w:rPr>
          <w:rFonts w:hint="eastAsia" w:ascii="宋体" w:hAnsi="宋体" w:cs="宋体"/>
          <w:sz w:val="21"/>
          <w:szCs w:val="21"/>
        </w:rPr>
        <w:t>事件研究法（央行沟通公告有助于提升政策利率的传导效率吗）</w:t>
      </w:r>
      <w:bookmarkEnd w:id="6"/>
    </w:p>
    <w:p w14:paraId="2EB1DF2E">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倾向得分匹配+双重差分（延付高管薪酬对银行风险承担的政策效应—基于银行盈余管理动机视角的PSM-DID分析）</w:t>
      </w:r>
    </w:p>
    <w:p w14:paraId="78CBA9CB">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双重差分+三重差分（排污权交易机制是否提高了企业全要素生产率—来自中国上市公司的证据）</w:t>
      </w:r>
    </w:p>
    <w:p w14:paraId="383DD8E4">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断点回归模型（环境规制与企业纳税遵从效应、机制与改善路径）</w:t>
      </w:r>
    </w:p>
    <w:p w14:paraId="37B67E51">
      <w:pPr>
        <w:numPr>
          <w:ilvl w:val="0"/>
          <w:numId w:val="2"/>
        </w:numPr>
        <w:adjustRightInd w:val="0"/>
        <w:snapToGrid w:val="0"/>
        <w:ind w:firstLine="420"/>
        <w:jc w:val="left"/>
        <w:rPr>
          <w:rFonts w:hint="eastAsia" w:ascii="宋体" w:hAnsi="宋体" w:cs="宋体"/>
          <w:sz w:val="21"/>
          <w:szCs w:val="21"/>
        </w:rPr>
      </w:pPr>
      <w:r>
        <w:rPr>
          <w:rFonts w:hint="eastAsia" w:ascii="宋体" w:hAnsi="宋体" w:cs="宋体"/>
          <w:sz w:val="21"/>
          <w:szCs w:val="21"/>
        </w:rPr>
        <w:t>多时点双重差分模型（资本市场国际化的鞭策效应-A股纳入MSCI指数与企业ESG表现）</w:t>
      </w:r>
    </w:p>
    <w:p w14:paraId="6F18BAF2">
      <w:pPr>
        <w:adjustRightInd w:val="0"/>
        <w:snapToGrid w:val="0"/>
        <w:ind w:firstLine="420"/>
        <w:jc w:val="left"/>
        <w:rPr>
          <w:rFonts w:hint="eastAsia" w:ascii="宋体" w:hAnsi="宋体" w:cs="宋体"/>
          <w:sz w:val="21"/>
          <w:szCs w:val="21"/>
        </w:rPr>
      </w:pPr>
      <w:r>
        <w:rPr>
          <w:rFonts w:hint="eastAsia" w:ascii="宋体" w:hAnsi="宋体" w:cs="宋体"/>
          <w:sz w:val="21"/>
          <w:szCs w:val="21"/>
        </w:rPr>
        <w:t>学生通过实验的学习和操作掌握数字经济时代AI的应用。此平台有助于提高学生自主设计计量建模与论文写作能力。</w:t>
      </w:r>
    </w:p>
    <w:p w14:paraId="22C8C7BB">
      <w:pPr>
        <w:pStyle w:val="2"/>
        <w:adjustRightInd w:val="0"/>
        <w:snapToGrid w:val="0"/>
        <w:spacing w:after="0"/>
        <w:ind w:left="0" w:leftChars="0" w:firstLine="0" w:firstLineChars="0"/>
        <w:rPr>
          <w:rFonts w:hint="eastAsia" w:ascii="宋体" w:hAnsi="宋体" w:cs="宋体"/>
        </w:rPr>
      </w:pPr>
      <w:r>
        <w:rPr>
          <w:rFonts w:hint="eastAsia" w:ascii="宋体" w:hAnsi="宋体" w:cs="宋体"/>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7"/>
                    <a:stretch>
                      <a:fillRect/>
                    </a:stretch>
                  </pic:blipFill>
                  <pic:spPr>
                    <a:xfrm>
                      <a:off x="0" y="0"/>
                      <a:ext cx="5266690" cy="1706245"/>
                    </a:xfrm>
                    <a:prstGeom prst="rect">
                      <a:avLst/>
                    </a:prstGeom>
                    <a:noFill/>
                    <a:ln>
                      <a:noFill/>
                    </a:ln>
                  </pic:spPr>
                </pic:pic>
              </a:graphicData>
            </a:graphic>
          </wp:inline>
        </w:drawing>
      </w:r>
    </w:p>
    <w:p w14:paraId="0BA3277B">
      <w:pPr>
        <w:pStyle w:val="4"/>
        <w:numPr>
          <w:ilvl w:val="0"/>
          <w:numId w:val="1"/>
        </w:numPr>
        <w:bidi w:val="0"/>
        <w:rPr>
          <w:rFonts w:hint="eastAsia"/>
        </w:rPr>
      </w:pPr>
      <w:bookmarkStart w:id="7" w:name="_Toc17609"/>
      <w:bookmarkStart w:id="8" w:name="_Toc8979"/>
      <w:bookmarkStart w:id="9" w:name="_Toc14513"/>
      <w:r>
        <w:rPr>
          <w:rFonts w:hint="eastAsia"/>
        </w:rPr>
        <w:t>课程定位</w:t>
      </w:r>
      <w:bookmarkEnd w:id="7"/>
      <w:bookmarkEnd w:id="8"/>
      <w:bookmarkEnd w:id="9"/>
    </w:p>
    <w:p w14:paraId="0D2E454C">
      <w:pPr>
        <w:adjustRightInd w:val="0"/>
        <w:snapToGrid w:val="0"/>
        <w:ind w:firstLine="0" w:firstLineChars="0"/>
        <w:jc w:val="center"/>
        <w:rPr>
          <w:rFonts w:hint="eastAsia" w:ascii="宋体" w:hAnsi="宋体" w:cs="宋体"/>
          <w:sz w:val="21"/>
          <w:szCs w:val="21"/>
        </w:rPr>
      </w:pPr>
      <w:r>
        <w:rPr>
          <w:rFonts w:hint="eastAsia" w:ascii="宋体" w:hAnsi="宋体" w:cs="宋体"/>
          <w:sz w:val="24"/>
        </w:rPr>
        <w:drawing>
          <wp:inline distT="0" distB="0" distL="114300" distR="114300">
            <wp:extent cx="5708650" cy="3111500"/>
            <wp:effectExtent l="0" t="0" r="6350"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8"/>
                    <a:stretch>
                      <a:fillRect/>
                    </a:stretch>
                  </pic:blipFill>
                  <pic:spPr>
                    <a:xfrm>
                      <a:off x="0" y="0"/>
                      <a:ext cx="5708650" cy="3111500"/>
                    </a:xfrm>
                    <a:prstGeom prst="rect">
                      <a:avLst/>
                    </a:prstGeom>
                    <a:noFill/>
                    <a:ln w="9525">
                      <a:noFill/>
                    </a:ln>
                  </pic:spPr>
                </pic:pic>
              </a:graphicData>
            </a:graphic>
          </wp:inline>
        </w:drawing>
      </w:r>
    </w:p>
    <w:p w14:paraId="43251D25">
      <w:pPr>
        <w:adjustRightInd w:val="0"/>
        <w:snapToGrid w:val="0"/>
        <w:ind w:firstLine="420"/>
        <w:rPr>
          <w:rFonts w:hint="eastAsia" w:ascii="宋体" w:hAnsi="宋体" w:cs="宋体"/>
          <w:sz w:val="21"/>
          <w:szCs w:val="21"/>
        </w:rPr>
      </w:pPr>
      <w:r>
        <w:rPr>
          <w:rFonts w:hint="eastAsia" w:ascii="宋体" w:hAnsi="宋体" w:cs="宋体"/>
          <w:sz w:val="21"/>
          <w:szCs w:val="21"/>
        </w:rPr>
        <w:t>融合AI、RPA技术，金融建模、金融大数据挖掘已成为金融科技专业实训体系重要的一部分，基于能力的金融科技专业实训体系由业务决策场景实训、基础软件实训、数据分析实训、综合实训组成，智能数据机器人实训正属于金融科技专业的数据分析实训，该实训对学生的数据分析能力提升非常重要。现在市面上已有经济数据分析实训、商务数据分析实训、智能数据机器人实训等，AI金融计量教学平台属于智能数据机器人实训。</w:t>
      </w:r>
    </w:p>
    <w:p w14:paraId="01DBF88D">
      <w:pPr>
        <w:adjustRightInd w:val="0"/>
        <w:snapToGrid w:val="0"/>
        <w:ind w:firstLine="420"/>
        <w:rPr>
          <w:rFonts w:hint="eastAsia" w:ascii="宋体" w:hAnsi="宋体" w:cs="宋体"/>
          <w:sz w:val="21"/>
          <w:szCs w:val="21"/>
        </w:rPr>
      </w:pPr>
      <w:r>
        <w:rPr>
          <w:rFonts w:hint="eastAsia" w:ascii="宋体" w:hAnsi="宋体" w:cs="宋体"/>
          <w:sz w:val="21"/>
          <w:szCs w:val="21"/>
        </w:rPr>
        <w:t>建议开课时间：大二或大三。</w:t>
      </w:r>
    </w:p>
    <w:p w14:paraId="6EDAE01C">
      <w:pPr>
        <w:adjustRightInd w:val="0"/>
        <w:snapToGrid w:val="0"/>
        <w:ind w:firstLine="420"/>
        <w:rPr>
          <w:rFonts w:hint="eastAsia" w:ascii="宋体" w:hAnsi="宋体" w:cs="宋体"/>
          <w:sz w:val="21"/>
          <w:szCs w:val="21"/>
        </w:rPr>
      </w:pPr>
      <w:r>
        <w:rPr>
          <w:rFonts w:hint="eastAsia" w:ascii="宋体" w:hAnsi="宋体" w:cs="宋体"/>
          <w:sz w:val="21"/>
          <w:szCs w:val="21"/>
        </w:rPr>
        <w:t>建议课时：</w:t>
      </w:r>
      <w:bookmarkStart w:id="10" w:name="_Hlk160020372"/>
      <w:r>
        <w:rPr>
          <w:rFonts w:hint="eastAsia" w:ascii="宋体" w:hAnsi="宋体" w:cs="宋体"/>
          <w:sz w:val="21"/>
          <w:szCs w:val="21"/>
        </w:rPr>
        <w:t>每个案例6-8课时，可选择任意实验教学。</w:t>
      </w:r>
      <w:bookmarkEnd w:id="10"/>
    </w:p>
    <w:p w14:paraId="11ACACCD">
      <w:pPr>
        <w:pStyle w:val="4"/>
        <w:numPr>
          <w:ilvl w:val="0"/>
          <w:numId w:val="1"/>
        </w:numPr>
        <w:bidi w:val="0"/>
        <w:rPr>
          <w:rFonts w:hint="eastAsia"/>
        </w:rPr>
      </w:pPr>
      <w:bookmarkStart w:id="11" w:name="_Toc22384"/>
      <w:bookmarkStart w:id="12" w:name="_Toc25758"/>
      <w:bookmarkStart w:id="13" w:name="_Toc31436"/>
      <w:r>
        <w:rPr>
          <w:rFonts w:hint="eastAsia"/>
        </w:rPr>
        <w:t>实验内容与项目概述</w:t>
      </w:r>
      <w:bookmarkEnd w:id="11"/>
      <w:bookmarkEnd w:id="12"/>
      <w:bookmarkEnd w:id="13"/>
      <w:r>
        <w:rPr>
          <w:rFonts w:hint="eastAsia"/>
        </w:rPr>
        <w:tab/>
      </w:r>
    </w:p>
    <w:p w14:paraId="03A7D784">
      <w:pPr>
        <w:pStyle w:val="5"/>
        <w:numPr>
          <w:ilvl w:val="0"/>
          <w:numId w:val="3"/>
        </w:numPr>
        <w:bidi w:val="0"/>
        <w:ind w:left="418" w:leftChars="0" w:firstLine="0" w:firstLineChars="0"/>
        <w:rPr>
          <w:rFonts w:hint="eastAsia" w:cs="Times New Roman"/>
          <w:lang w:eastAsia="zh-CN"/>
        </w:rPr>
      </w:pPr>
      <w:bookmarkStart w:id="14" w:name="_Toc18829"/>
      <w:bookmarkStart w:id="15" w:name="_Toc18447"/>
      <w:bookmarkStart w:id="16" w:name="_Toc23725"/>
      <w:bookmarkStart w:id="17" w:name="_Toc27816"/>
      <w:bookmarkStart w:id="18" w:name="_Toc10918"/>
      <w:r>
        <w:rPr>
          <w:rFonts w:hint="eastAsia" w:cs="Times New Roman"/>
          <w:lang w:val="en-US" w:eastAsia="zh-CN"/>
        </w:rPr>
        <w:t>AI</w:t>
      </w:r>
      <w:bookmarkEnd w:id="14"/>
      <w:bookmarkEnd w:id="15"/>
      <w:bookmarkEnd w:id="16"/>
      <w:r>
        <w:rPr>
          <w:rFonts w:hint="eastAsia" w:cs="Times New Roman"/>
          <w:lang w:val="en-US" w:eastAsia="zh-CN"/>
        </w:rPr>
        <w:t>科研平台</w:t>
      </w:r>
      <w:bookmarkEnd w:id="17"/>
      <w:bookmarkEnd w:id="18"/>
    </w:p>
    <w:p w14:paraId="459E5193">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cs="宋体"/>
          <w:sz w:val="21"/>
          <w:szCs w:val="21"/>
          <w:lang w:val="en-US" w:eastAsia="zh-CN" w:bidi="ar"/>
        </w:rPr>
        <w:t>AI</w:t>
      </w:r>
      <w:r>
        <w:rPr>
          <w:rFonts w:hint="eastAsia" w:ascii="宋体" w:hAnsi="宋体" w:eastAsia="宋体" w:cs="宋体"/>
          <w:sz w:val="21"/>
          <w:szCs w:val="21"/>
          <w:lang w:bidi="ar"/>
        </w:rPr>
        <w:t>+论文选题</w:t>
      </w:r>
    </w:p>
    <w:p w14:paraId="7131B242">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lang w:bidi="ar"/>
        </w:rPr>
      </w:pPr>
      <w:r>
        <w:rPr>
          <w:rFonts w:hint="eastAsia" w:ascii="宋体" w:hAnsi="宋体" w:cs="宋体"/>
          <w:sz w:val="21"/>
          <w:szCs w:val="21"/>
          <w:lang w:val="en-US" w:eastAsia="zh-CN" w:bidi="ar"/>
        </w:rPr>
        <w:t>AI</w:t>
      </w:r>
      <w:r>
        <w:rPr>
          <w:rFonts w:hint="eastAsia" w:ascii="宋体" w:hAnsi="宋体" w:eastAsia="宋体" w:cs="宋体"/>
          <w:sz w:val="21"/>
          <w:szCs w:val="21"/>
          <w:lang w:bidi="ar"/>
        </w:rPr>
        <w:t>+数据推荐</w:t>
      </w:r>
    </w:p>
    <w:p w14:paraId="69B2E671">
      <w:pPr>
        <w:pageBreakBefore w:val="0"/>
        <w:widowControl w:val="0"/>
        <w:numPr>
          <w:ilvl w:val="0"/>
          <w:numId w:val="4"/>
        </w:numPr>
        <w:tabs>
          <w:tab w:val="left" w:pos="840"/>
        </w:tabs>
        <w:kinsoku/>
        <w:wordWrap/>
        <w:overflowPunct/>
        <w:topLinePunct w:val="0"/>
        <w:autoSpaceDE/>
        <w:autoSpaceDN/>
        <w:bidi w:val="0"/>
        <w:adjustRightInd w:val="0"/>
        <w:snapToGrid w:val="0"/>
        <w:spacing w:beforeAutospacing="0" w:afterAutospacing="0" w:line="360" w:lineRule="auto"/>
        <w:ind w:left="839" w:right="0" w:firstLine="105" w:firstLineChars="50"/>
        <w:textAlignment w:val="auto"/>
        <w:rPr>
          <w:rFonts w:hint="eastAsia" w:ascii="宋体" w:hAnsi="宋体" w:eastAsia="宋体" w:cs="宋体"/>
          <w:sz w:val="21"/>
          <w:szCs w:val="21"/>
        </w:rPr>
      </w:pPr>
      <w:r>
        <w:rPr>
          <w:rFonts w:hint="eastAsia" w:ascii="宋体" w:hAnsi="宋体" w:cs="宋体"/>
          <w:sz w:val="21"/>
          <w:szCs w:val="21"/>
          <w:lang w:val="en-US" w:eastAsia="zh-CN" w:bidi="ar"/>
        </w:rPr>
        <w:t>AI</w:t>
      </w:r>
      <w:r>
        <w:rPr>
          <w:rFonts w:hint="eastAsia" w:ascii="宋体" w:hAnsi="宋体" w:eastAsia="宋体" w:cs="宋体"/>
          <w:sz w:val="21"/>
          <w:szCs w:val="21"/>
          <w:lang w:bidi="ar"/>
        </w:rPr>
        <w:t>+实证分析</w:t>
      </w:r>
    </w:p>
    <w:p w14:paraId="0428DCAC">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19" w:name="_Toc9950"/>
      <w:r>
        <w:rPr>
          <w:rFonts w:hint="eastAsia" w:ascii="宋体" w:hAnsi="宋体" w:cs="宋体"/>
          <w:b/>
          <w:sz w:val="21"/>
          <w:szCs w:val="21"/>
          <w:lang w:val="en-US" w:eastAsia="zh-CN"/>
        </w:rPr>
        <w:t xml:space="preserve"> </w:t>
      </w:r>
      <w:bookmarkStart w:id="20" w:name="_Toc2981"/>
      <w:bookmarkStart w:id="21" w:name="_Toc30788"/>
      <w:r>
        <w:rPr>
          <w:rFonts w:hint="eastAsia" w:ascii="宋体" w:hAnsi="宋体" w:cs="宋体"/>
          <w:b/>
          <w:sz w:val="21"/>
          <w:szCs w:val="21"/>
          <w:lang w:val="en-US" w:eastAsia="zh-CN"/>
        </w:rPr>
        <w:t>AI</w:t>
      </w:r>
      <w:bookmarkEnd w:id="19"/>
      <w:r>
        <w:rPr>
          <w:rFonts w:hint="eastAsia" w:ascii="宋体" w:hAnsi="宋体" w:cs="宋体"/>
          <w:b/>
          <w:sz w:val="21"/>
          <w:szCs w:val="21"/>
          <w:lang w:val="en-US" w:eastAsia="zh-CN"/>
        </w:rPr>
        <w:t>+论文选题</w:t>
      </w:r>
      <w:bookmarkEnd w:id="20"/>
      <w:bookmarkEnd w:id="21"/>
    </w:p>
    <w:p w14:paraId="3471D5D6">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7B2BEA93">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cs="宋体"/>
          <w:sz w:val="21"/>
          <w:szCs w:val="21"/>
          <w:lang w:val="en-US" w:eastAsia="zh-CN"/>
        </w:rPr>
      </w:pPr>
      <w:r>
        <w:rPr>
          <w:rFonts w:hint="eastAsia" w:ascii="宋体" w:hAnsi="宋体" w:eastAsia="宋体" w:cs="宋体"/>
          <w:sz w:val="21"/>
          <w:szCs w:val="21"/>
        </w:rPr>
        <w:t>在</w:t>
      </w:r>
      <w:r>
        <w:rPr>
          <w:rFonts w:hint="eastAsia" w:ascii="宋体" w:hAnsi="宋体" w:eastAsia="宋体" w:cs="宋体"/>
          <w:sz w:val="21"/>
          <w:szCs w:val="21"/>
          <w:lang w:val="en-US" w:eastAsia="zh-CN"/>
        </w:rPr>
        <w:t>论文</w:t>
      </w:r>
      <w:r>
        <w:rPr>
          <w:rFonts w:hint="eastAsia" w:ascii="宋体" w:hAnsi="宋体" w:eastAsia="宋体" w:cs="宋体"/>
          <w:sz w:val="21"/>
          <w:szCs w:val="21"/>
        </w:rPr>
        <w:t>选题时缺乏明确的方向和目标，不知道如何确定一个好的论文题目</w:t>
      </w:r>
      <w:r>
        <w:rPr>
          <w:rFonts w:hint="eastAsia" w:ascii="宋体" w:hAnsi="宋体" w:eastAsia="宋体" w:cs="宋体"/>
          <w:sz w:val="21"/>
          <w:szCs w:val="21"/>
          <w:lang w:val="en-US" w:eastAsia="zh-CN"/>
        </w:rPr>
        <w:t>，作为经管类专业难以从模型上进行创新，是不是可以从理论、方法、数据上进行论文创新呢？从数据创新角度进行论文主题探索正逐渐常态化</w:t>
      </w:r>
      <w:r>
        <w:rPr>
          <w:rFonts w:hint="eastAsia" w:ascii="宋体" w:hAnsi="宋体" w:cs="宋体"/>
          <w:sz w:val="21"/>
          <w:szCs w:val="21"/>
          <w:lang w:val="en-US" w:eastAsia="zh-CN"/>
        </w:rPr>
        <w:t>，用大数据技术追踪指定期刊的论文选题热点，实现AI与数据集匹配，自动给出以投刊为目的热点选题。</w:t>
      </w:r>
    </w:p>
    <w:p w14:paraId="00B96AE4">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287CE240">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1-1</w:t>
      </w:r>
      <w:r>
        <w:rPr>
          <w:rFonts w:hint="eastAsia" w:ascii="宋体" w:hAnsi="宋体" w:eastAsia="宋体" w:cs="宋体"/>
          <w:sz w:val="18"/>
          <w:szCs w:val="18"/>
          <w:lang w:val="en-US" w:eastAsia="zh-CN" w:bidi="ar"/>
        </w:rPr>
        <w:t xml:space="preserve"> </w:t>
      </w:r>
      <w:r>
        <w:rPr>
          <w:rFonts w:hint="eastAsia" w:ascii="宋体" w:hAnsi="宋体" w:cs="宋体"/>
          <w:sz w:val="18"/>
          <w:szCs w:val="18"/>
          <w:lang w:val="en-US" w:eastAsia="zh-CN" w:bidi="ar"/>
        </w:rPr>
        <w:t>AI+论文选题</w:t>
      </w:r>
    </w:p>
    <w:tbl>
      <w:tblPr>
        <w:tblStyle w:val="18"/>
        <w:tblW w:w="8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3895"/>
        <w:gridCol w:w="1336"/>
        <w:gridCol w:w="966"/>
      </w:tblGrid>
      <w:tr w14:paraId="067AA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37175E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7BCE85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3895" w:type="dxa"/>
            <w:shd w:val="clear" w:color="auto" w:fill="E6E6E6"/>
            <w:noWrap w:val="0"/>
            <w:vAlign w:val="center"/>
          </w:tcPr>
          <w:p w14:paraId="636536D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36" w:type="dxa"/>
            <w:shd w:val="clear" w:color="auto" w:fill="E6E6E6"/>
            <w:noWrap w:val="0"/>
            <w:vAlign w:val="center"/>
          </w:tcPr>
          <w:p w14:paraId="6B8944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对应课程</w:t>
            </w:r>
          </w:p>
        </w:tc>
        <w:tc>
          <w:tcPr>
            <w:tcW w:w="966" w:type="dxa"/>
            <w:shd w:val="clear" w:color="auto" w:fill="E6E6E6"/>
            <w:noWrap w:val="0"/>
            <w:vAlign w:val="center"/>
          </w:tcPr>
          <w:p w14:paraId="25C6A8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对应课时</w:t>
            </w:r>
          </w:p>
        </w:tc>
      </w:tr>
      <w:tr w14:paraId="760C3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1095" w:type="dxa"/>
            <w:vMerge w:val="restart"/>
            <w:noWrap w:val="0"/>
            <w:vAlign w:val="center"/>
          </w:tcPr>
          <w:p w14:paraId="1D04BB0F">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val="en-US" w:eastAsia="zh-CN" w:bidi="ar"/>
              </w:rPr>
              <w:t>AI+论文选题</w:t>
            </w:r>
          </w:p>
          <w:p w14:paraId="7F0E48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78F602D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3895" w:type="dxa"/>
            <w:noWrap w:val="0"/>
            <w:vAlign w:val="center"/>
          </w:tcPr>
          <w:p w14:paraId="7893FFA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打开并登录AI科研平台</w:t>
            </w:r>
          </w:p>
        </w:tc>
        <w:tc>
          <w:tcPr>
            <w:tcW w:w="1336" w:type="dxa"/>
            <w:vMerge w:val="restart"/>
            <w:noWrap w:val="0"/>
            <w:vAlign w:val="center"/>
          </w:tcPr>
          <w:p w14:paraId="4387CE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hAnsi="宋体" w:cs="宋体"/>
                <w:sz w:val="18"/>
                <w:szCs w:val="18"/>
                <w:lang w:eastAsia="zh-CN"/>
              </w:rPr>
              <w:t>《论文写作方法与实践》、《</w:t>
            </w:r>
            <w:r>
              <w:rPr>
                <w:rFonts w:ascii="宋体" w:hAnsi="宋体" w:eastAsia="宋体" w:cs="宋体"/>
                <w:sz w:val="18"/>
                <w:szCs w:val="18"/>
              </w:rPr>
              <w:t>科研思维与论文写作</w:t>
            </w:r>
            <w:r>
              <w:rPr>
                <w:rFonts w:hint="eastAsia" w:hAnsi="宋体" w:cs="宋体"/>
                <w:sz w:val="18"/>
                <w:szCs w:val="18"/>
                <w:lang w:eastAsia="zh-CN"/>
              </w:rPr>
              <w:t>》、《</w:t>
            </w:r>
            <w:r>
              <w:rPr>
                <w:rFonts w:ascii="宋体" w:hAnsi="宋体" w:eastAsia="宋体" w:cs="宋体"/>
                <w:sz w:val="18"/>
                <w:szCs w:val="18"/>
              </w:rPr>
              <w:t>研究方法与学术写作</w:t>
            </w:r>
            <w:r>
              <w:rPr>
                <w:rFonts w:hint="eastAsia" w:hAnsi="宋体" w:cs="宋体"/>
                <w:sz w:val="18"/>
                <w:szCs w:val="18"/>
                <w:lang w:eastAsia="zh-CN"/>
              </w:rPr>
              <w:t>》</w:t>
            </w:r>
          </w:p>
        </w:tc>
        <w:tc>
          <w:tcPr>
            <w:tcW w:w="966" w:type="dxa"/>
            <w:vMerge w:val="restart"/>
            <w:noWrap w:val="0"/>
            <w:vAlign w:val="center"/>
          </w:tcPr>
          <w:p w14:paraId="333F099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3课时</w:t>
            </w:r>
          </w:p>
        </w:tc>
      </w:tr>
      <w:tr w14:paraId="21038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0E9715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18DA23D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3895" w:type="dxa"/>
            <w:noWrap w:val="0"/>
            <w:vAlign w:val="center"/>
          </w:tcPr>
          <w:p w14:paraId="24413C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筛选期刊级别、专业</w:t>
            </w:r>
          </w:p>
        </w:tc>
        <w:tc>
          <w:tcPr>
            <w:tcW w:w="1336" w:type="dxa"/>
            <w:vMerge w:val="continue"/>
            <w:noWrap w:val="0"/>
            <w:vAlign w:val="center"/>
          </w:tcPr>
          <w:p w14:paraId="0D7DEDC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7D68AB1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ED36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1095" w:type="dxa"/>
            <w:vMerge w:val="continue"/>
            <w:noWrap w:val="0"/>
            <w:vAlign w:val="center"/>
          </w:tcPr>
          <w:p w14:paraId="2E1450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235584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895" w:type="dxa"/>
            <w:noWrap w:val="0"/>
            <w:vAlign w:val="top"/>
          </w:tcPr>
          <w:p w14:paraId="3F9648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是否匹配政策热点、是否使用创新性提高版本</w:t>
            </w:r>
          </w:p>
        </w:tc>
        <w:tc>
          <w:tcPr>
            <w:tcW w:w="1336" w:type="dxa"/>
            <w:vMerge w:val="continue"/>
            <w:noWrap w:val="0"/>
            <w:vAlign w:val="center"/>
          </w:tcPr>
          <w:p w14:paraId="79AA59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46A783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E45D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C4C433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35077A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895" w:type="dxa"/>
            <w:noWrap w:val="0"/>
            <w:vAlign w:val="top"/>
          </w:tcPr>
          <w:p w14:paraId="210FB1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i w:val="0"/>
                <w:iCs w:val="0"/>
                <w:caps w:val="0"/>
                <w:spacing w:val="0"/>
                <w:sz w:val="18"/>
                <w:szCs w:val="18"/>
                <w:shd w:val="clear" w:fill="FFFFFF"/>
                <w:lang w:val="en-US" w:eastAsia="zh-CN"/>
              </w:rPr>
              <w:t>确定</w:t>
            </w:r>
            <w:r>
              <w:rPr>
                <w:rFonts w:hint="eastAsia" w:ascii="宋体" w:hAnsi="宋体" w:eastAsia="宋体" w:cs="宋体"/>
                <w:i w:val="0"/>
                <w:iCs w:val="0"/>
                <w:caps w:val="0"/>
                <w:spacing w:val="0"/>
                <w:sz w:val="18"/>
                <w:szCs w:val="18"/>
                <w:shd w:val="clear" w:fill="FFFFFF"/>
              </w:rPr>
              <w:t>论文发表时间跨度</w:t>
            </w:r>
            <w:r>
              <w:rPr>
                <w:rFonts w:hint="eastAsia" w:ascii="宋体" w:hAnsi="宋体" w:eastAsia="宋体" w:cs="宋体"/>
                <w:i w:val="0"/>
                <w:iCs w:val="0"/>
                <w:caps w:val="0"/>
                <w:spacing w:val="0"/>
                <w:sz w:val="18"/>
                <w:szCs w:val="18"/>
                <w:shd w:val="clear" w:fill="FFFFFF"/>
                <w:lang w:eastAsia="zh-CN"/>
              </w:rPr>
              <w:t>的</w:t>
            </w:r>
            <w:r>
              <w:rPr>
                <w:rFonts w:hint="eastAsia" w:ascii="宋体" w:hAnsi="宋体" w:eastAsia="宋体" w:cs="宋体"/>
                <w:i w:val="0"/>
                <w:iCs w:val="0"/>
                <w:caps w:val="0"/>
                <w:spacing w:val="0"/>
                <w:sz w:val="18"/>
                <w:szCs w:val="18"/>
                <w:shd w:val="clear" w:fill="FFFFFF"/>
                <w:lang w:val="en-US" w:eastAsia="zh-CN"/>
              </w:rPr>
              <w:t>范围</w:t>
            </w:r>
          </w:p>
        </w:tc>
        <w:tc>
          <w:tcPr>
            <w:tcW w:w="1336" w:type="dxa"/>
            <w:vMerge w:val="continue"/>
            <w:noWrap w:val="0"/>
            <w:vAlign w:val="center"/>
          </w:tcPr>
          <w:p w14:paraId="55BBB71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06C2903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55C2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4" w:hRule="atLeast"/>
          <w:jc w:val="center"/>
        </w:trPr>
        <w:tc>
          <w:tcPr>
            <w:tcW w:w="1095" w:type="dxa"/>
            <w:vMerge w:val="continue"/>
            <w:noWrap w:val="0"/>
            <w:vAlign w:val="center"/>
          </w:tcPr>
          <w:p w14:paraId="244A0E2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E8D55A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895" w:type="dxa"/>
            <w:noWrap w:val="0"/>
            <w:vAlign w:val="top"/>
          </w:tcPr>
          <w:p w14:paraId="1B46FEC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输入论文内容与主题</w:t>
            </w:r>
          </w:p>
        </w:tc>
        <w:tc>
          <w:tcPr>
            <w:tcW w:w="1336" w:type="dxa"/>
            <w:vMerge w:val="continue"/>
            <w:noWrap w:val="0"/>
            <w:vAlign w:val="center"/>
          </w:tcPr>
          <w:p w14:paraId="54CE629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438326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386C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4E69C4C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859574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895" w:type="dxa"/>
            <w:noWrap w:val="0"/>
            <w:vAlign w:val="top"/>
          </w:tcPr>
          <w:p w14:paraId="0C4D59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i w:val="0"/>
                <w:iCs w:val="0"/>
                <w:caps w:val="0"/>
                <w:spacing w:val="0"/>
                <w:sz w:val="18"/>
                <w:szCs w:val="18"/>
                <w:shd w:val="clear" w:fill="FFFFFF"/>
              </w:rPr>
              <w:t>基于查找的数据以及该期刊的词频分布结果</w:t>
            </w:r>
            <w:r>
              <w:rPr>
                <w:rFonts w:hint="eastAsia" w:ascii="宋体" w:hAnsi="宋体" w:eastAsia="宋体" w:cs="宋体"/>
                <w:i w:val="0"/>
                <w:iCs w:val="0"/>
                <w:caps w:val="0"/>
                <w:spacing w:val="0"/>
                <w:sz w:val="18"/>
                <w:szCs w:val="18"/>
                <w:shd w:val="clear" w:fill="FFFFFF"/>
                <w:lang w:eastAsia="zh-CN"/>
              </w:rPr>
              <w:t>，</w:t>
            </w:r>
            <w:r>
              <w:rPr>
                <w:rFonts w:hint="eastAsia" w:ascii="宋体" w:hAnsi="宋体" w:eastAsia="宋体" w:cs="宋体"/>
                <w:i w:val="0"/>
                <w:iCs w:val="0"/>
                <w:caps w:val="0"/>
                <w:spacing w:val="0"/>
                <w:sz w:val="18"/>
                <w:szCs w:val="18"/>
                <w:shd w:val="clear" w:fill="FFFFFF"/>
                <w:lang w:val="en-US" w:eastAsia="zh-CN"/>
              </w:rPr>
              <w:t>要求给出几个选题</w:t>
            </w:r>
          </w:p>
        </w:tc>
        <w:tc>
          <w:tcPr>
            <w:tcW w:w="1336" w:type="dxa"/>
            <w:vMerge w:val="continue"/>
            <w:noWrap w:val="0"/>
            <w:vAlign w:val="center"/>
          </w:tcPr>
          <w:p w14:paraId="4FC8B38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0CBA83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F9F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028BD94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456D3EF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3895" w:type="dxa"/>
            <w:noWrap w:val="0"/>
            <w:vAlign w:val="center"/>
          </w:tcPr>
          <w:p w14:paraId="0960D71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说明可能的创新点；</w:t>
            </w:r>
          </w:p>
        </w:tc>
        <w:tc>
          <w:tcPr>
            <w:tcW w:w="1336" w:type="dxa"/>
            <w:vMerge w:val="continue"/>
            <w:noWrap w:val="0"/>
            <w:vAlign w:val="center"/>
          </w:tcPr>
          <w:p w14:paraId="48DA69E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7E2AE73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F563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1095" w:type="dxa"/>
            <w:vMerge w:val="continue"/>
            <w:noWrap w:val="0"/>
            <w:vAlign w:val="center"/>
          </w:tcPr>
          <w:p w14:paraId="5794073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DABC39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3895" w:type="dxa"/>
            <w:noWrap w:val="0"/>
            <w:vAlign w:val="center"/>
          </w:tcPr>
          <w:p w14:paraId="0233855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说明该选题方向下的研究重点</w:t>
            </w:r>
          </w:p>
        </w:tc>
        <w:tc>
          <w:tcPr>
            <w:tcW w:w="1336" w:type="dxa"/>
            <w:vMerge w:val="continue"/>
            <w:noWrap w:val="0"/>
            <w:vAlign w:val="center"/>
          </w:tcPr>
          <w:p w14:paraId="1057231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2A3D6FD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121D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6BD1045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1D69FF5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3895" w:type="dxa"/>
            <w:noWrap w:val="0"/>
            <w:vAlign w:val="center"/>
          </w:tcPr>
          <w:p w14:paraId="6E57560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说明选题推荐理由</w:t>
            </w:r>
          </w:p>
        </w:tc>
        <w:tc>
          <w:tcPr>
            <w:tcW w:w="1336" w:type="dxa"/>
            <w:vMerge w:val="continue"/>
            <w:noWrap w:val="0"/>
            <w:vAlign w:val="center"/>
          </w:tcPr>
          <w:p w14:paraId="5FA57F1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5CF6C24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1ADF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14256B1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2641806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3895" w:type="dxa"/>
            <w:noWrap w:val="0"/>
            <w:vAlign w:val="center"/>
          </w:tcPr>
          <w:p w14:paraId="2C17026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备注参考论文</w:t>
            </w:r>
          </w:p>
        </w:tc>
        <w:tc>
          <w:tcPr>
            <w:tcW w:w="1336" w:type="dxa"/>
            <w:vMerge w:val="continue"/>
            <w:noWrap w:val="0"/>
            <w:vAlign w:val="center"/>
          </w:tcPr>
          <w:p w14:paraId="0775EA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43BA463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4D8A8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4D5733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3E1E857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3895" w:type="dxa"/>
            <w:noWrap w:val="0"/>
            <w:vAlign w:val="center"/>
          </w:tcPr>
          <w:p w14:paraId="10D2F32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提出写作方向建议</w:t>
            </w:r>
          </w:p>
        </w:tc>
        <w:tc>
          <w:tcPr>
            <w:tcW w:w="1336" w:type="dxa"/>
            <w:vMerge w:val="continue"/>
            <w:noWrap w:val="0"/>
            <w:vAlign w:val="center"/>
          </w:tcPr>
          <w:p w14:paraId="19ECC9D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66" w:type="dxa"/>
            <w:vMerge w:val="continue"/>
            <w:noWrap w:val="0"/>
            <w:vAlign w:val="center"/>
          </w:tcPr>
          <w:p w14:paraId="3DAFD80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0C55AE9A">
      <w:pPr>
        <w:pageBreakBefore w:val="0"/>
        <w:widowControl w:val="0"/>
        <w:numPr>
          <w:ilvl w:val="0"/>
          <w:numId w:val="7"/>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555CDC3A">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rPr>
        <w:t>了解实验背景、实验目标</w:t>
      </w:r>
    </w:p>
    <w:p w14:paraId="3E51FB47">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根据</w:t>
      </w:r>
      <w:r>
        <w:rPr>
          <w:rFonts w:hint="eastAsia" w:ascii="宋体" w:hAnsi="宋体" w:cs="宋体"/>
          <w:sz w:val="21"/>
          <w:szCs w:val="21"/>
          <w:lang w:val="en-US" w:eastAsia="zh-CN"/>
        </w:rPr>
        <w:t>提示内容输入关键词</w:t>
      </w:r>
    </w:p>
    <w:p w14:paraId="1FE16F32">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利用</w:t>
      </w:r>
      <w:r>
        <w:rPr>
          <w:rFonts w:hint="eastAsia" w:ascii="宋体" w:hAnsi="宋体" w:cs="宋体"/>
          <w:sz w:val="21"/>
          <w:szCs w:val="21"/>
          <w:lang w:val="en-US" w:eastAsia="zh-CN"/>
        </w:rPr>
        <w:t>科研平台</w:t>
      </w:r>
      <w:r>
        <w:rPr>
          <w:rFonts w:hint="eastAsia" w:ascii="宋体" w:hAnsi="宋体" w:eastAsia="宋体" w:cs="宋体"/>
          <w:sz w:val="21"/>
          <w:szCs w:val="21"/>
          <w:lang w:val="en-US" w:eastAsia="zh-CN"/>
        </w:rPr>
        <w:t>确定主题方向</w:t>
      </w:r>
    </w:p>
    <w:p w14:paraId="5F55B729">
      <w:pPr>
        <w:pageBreakBefore w:val="0"/>
        <w:widowControl w:val="0"/>
        <w:numPr>
          <w:ilvl w:val="0"/>
          <w:numId w:val="7"/>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121E96C6">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确定论文主题</w:t>
      </w:r>
    </w:p>
    <w:p w14:paraId="339BA192">
      <w:pPr>
        <w:pStyle w:val="2"/>
        <w:ind w:left="0" w:leftChars="0" w:firstLine="0" w:firstLineChars="0"/>
        <w:rPr>
          <w:rFonts w:hint="eastAsia"/>
        </w:rPr>
      </w:pPr>
      <w:r>
        <w:rPr>
          <w:rFonts w:ascii="宋体" w:hAnsi="宋体" w:eastAsia="宋体" w:cs="宋体"/>
          <w:sz w:val="24"/>
          <w:szCs w:val="24"/>
        </w:rPr>
        <w:drawing>
          <wp:inline distT="0" distB="0" distL="114300" distR="114300">
            <wp:extent cx="5497195" cy="2577465"/>
            <wp:effectExtent l="0" t="0" r="0" b="13335"/>
            <wp:docPr id="1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IMG_256"/>
                    <pic:cNvPicPr>
                      <a:picLocks noChangeAspect="1"/>
                    </pic:cNvPicPr>
                  </pic:nvPicPr>
                  <pic:blipFill>
                    <a:blip r:embed="rId19"/>
                    <a:stretch>
                      <a:fillRect/>
                    </a:stretch>
                  </pic:blipFill>
                  <pic:spPr>
                    <a:xfrm>
                      <a:off x="0" y="0"/>
                      <a:ext cx="5497195" cy="2577465"/>
                    </a:xfrm>
                    <a:prstGeom prst="rect">
                      <a:avLst/>
                    </a:prstGeom>
                    <a:noFill/>
                    <a:ln w="9525">
                      <a:noFill/>
                    </a:ln>
                  </pic:spPr>
                </pic:pic>
              </a:graphicData>
            </a:graphic>
          </wp:inline>
        </w:drawing>
      </w:r>
    </w:p>
    <w:p w14:paraId="5B8C1626">
      <w:pPr>
        <w:pageBreakBefore w:val="0"/>
        <w:widowControl w:val="0"/>
        <w:kinsoku/>
        <w:wordWrap/>
        <w:overflowPunct/>
        <w:topLinePunct w:val="0"/>
        <w:autoSpaceDE/>
        <w:autoSpaceDN/>
        <w:bidi w:val="0"/>
        <w:adjustRightInd w:val="0"/>
        <w:snapToGrid w:val="0"/>
        <w:spacing w:beforeAutospacing="0" w:afterAutospacing="0" w:line="360" w:lineRule="auto"/>
        <w:ind w:left="0" w:leftChars="0" w:right="0" w:firstLine="0" w:firstLineChars="0"/>
        <w:textAlignment w:val="auto"/>
        <w:rPr>
          <w:rFonts w:hint="eastAsia" w:ascii="宋体" w:hAnsi="宋体" w:eastAsia="宋体" w:cs="宋体"/>
          <w:sz w:val="21"/>
          <w:szCs w:val="21"/>
        </w:rPr>
      </w:pPr>
      <w:r>
        <w:rPr>
          <w:rFonts w:ascii="宋体" w:hAnsi="宋体" w:eastAsia="宋体" w:cs="宋体"/>
          <w:sz w:val="24"/>
          <w:szCs w:val="24"/>
        </w:rPr>
        <w:drawing>
          <wp:inline distT="0" distB="0" distL="114300" distR="114300">
            <wp:extent cx="5624830" cy="1967230"/>
            <wp:effectExtent l="0" t="0" r="0" b="13970"/>
            <wp:docPr id="1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IMG_256"/>
                    <pic:cNvPicPr>
                      <a:picLocks noChangeAspect="1"/>
                    </pic:cNvPicPr>
                  </pic:nvPicPr>
                  <pic:blipFill>
                    <a:blip r:embed="rId20"/>
                    <a:stretch>
                      <a:fillRect/>
                    </a:stretch>
                  </pic:blipFill>
                  <pic:spPr>
                    <a:xfrm>
                      <a:off x="0" y="0"/>
                      <a:ext cx="5624830" cy="1967230"/>
                    </a:xfrm>
                    <a:prstGeom prst="rect">
                      <a:avLst/>
                    </a:prstGeom>
                    <a:noFill/>
                    <a:ln w="9525">
                      <a:noFill/>
                    </a:ln>
                  </pic:spPr>
                </pic:pic>
              </a:graphicData>
            </a:graphic>
          </wp:inline>
        </w:drawing>
      </w:r>
      <w:r>
        <w:drawing>
          <wp:inline distT="0" distB="0" distL="114300" distR="114300">
            <wp:extent cx="5004435" cy="8232140"/>
            <wp:effectExtent l="0" t="0" r="9525" b="1270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1"/>
                    <a:srcRect b="9577"/>
                    <a:stretch>
                      <a:fillRect/>
                    </a:stretch>
                  </pic:blipFill>
                  <pic:spPr>
                    <a:xfrm>
                      <a:off x="0" y="0"/>
                      <a:ext cx="5004435" cy="8232140"/>
                    </a:xfrm>
                    <a:prstGeom prst="rect">
                      <a:avLst/>
                    </a:prstGeom>
                    <a:noFill/>
                    <a:ln>
                      <a:noFill/>
                    </a:ln>
                  </pic:spPr>
                </pic:pic>
              </a:graphicData>
            </a:graphic>
          </wp:inline>
        </w:drawing>
      </w:r>
    </w:p>
    <w:p w14:paraId="306B8B26">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22" w:name="_Toc29818"/>
      <w:bookmarkStart w:id="23" w:name="_Toc30937"/>
      <w:r>
        <w:rPr>
          <w:rFonts w:hint="eastAsia" w:ascii="宋体" w:hAnsi="宋体" w:cs="宋体"/>
          <w:b/>
          <w:sz w:val="21"/>
          <w:szCs w:val="21"/>
          <w:lang w:val="en-US" w:eastAsia="zh-CN"/>
        </w:rPr>
        <w:t>AI+数据推荐</w:t>
      </w:r>
      <w:bookmarkEnd w:id="22"/>
      <w:bookmarkEnd w:id="23"/>
    </w:p>
    <w:p w14:paraId="2C70F0D8">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35121B4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确定论文研究方向后，还需要</w:t>
      </w:r>
      <w:r>
        <w:rPr>
          <w:rFonts w:hint="eastAsia" w:ascii="宋体" w:hAnsi="宋体" w:cs="宋体"/>
          <w:sz w:val="21"/>
          <w:szCs w:val="21"/>
          <w:lang w:val="en-US" w:eastAsia="zh-CN"/>
        </w:rPr>
        <w:t>探索是否有相关数据指标名称，平</w:t>
      </w:r>
      <w:r>
        <w:rPr>
          <w:rFonts w:hint="eastAsia" w:ascii="宋体" w:hAnsi="宋体" w:eastAsia="宋体" w:cs="宋体"/>
          <w:sz w:val="21"/>
          <w:szCs w:val="21"/>
          <w:lang w:val="en-US" w:eastAsia="zh-CN"/>
        </w:rPr>
        <w:t>台会根据用户的时间跨度和数据要素等要求，自动输出因变量、自变量及控制变量等</w:t>
      </w:r>
      <w:r>
        <w:rPr>
          <w:rFonts w:hint="eastAsia" w:ascii="宋体" w:hAnsi="宋体" w:cs="宋体"/>
          <w:sz w:val="21"/>
          <w:szCs w:val="21"/>
          <w:lang w:val="en-US" w:eastAsia="zh-CN"/>
        </w:rPr>
        <w:t>，点击指标即可跳转到第三方数据库</w:t>
      </w:r>
      <w:r>
        <w:rPr>
          <w:rFonts w:hint="eastAsia" w:ascii="宋体" w:hAnsi="宋体" w:eastAsia="宋体" w:cs="宋体"/>
          <w:sz w:val="21"/>
          <w:szCs w:val="21"/>
          <w:lang w:val="en-US" w:eastAsia="zh-CN"/>
        </w:rPr>
        <w:t>，但数据指标名称确实没有怎么办？如何构建一个合理且有说服力的代理变量？平台会根据研究对象基于现有数据指标列出代理变量，此外平台也提供构建复核指标，且提供复合指标的完整指标体系并确定相关权重。</w:t>
      </w:r>
    </w:p>
    <w:p w14:paraId="191DE01F">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5FBC2F63">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default"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1-2</w:t>
      </w:r>
      <w:r>
        <w:rPr>
          <w:rFonts w:hint="eastAsia" w:ascii="宋体" w:hAnsi="宋体" w:eastAsia="宋体" w:cs="宋体"/>
          <w:sz w:val="18"/>
          <w:szCs w:val="18"/>
          <w:lang w:val="en-US" w:eastAsia="zh-CN" w:bidi="ar"/>
        </w:rPr>
        <w:t xml:space="preserve"> </w:t>
      </w:r>
      <w:r>
        <w:rPr>
          <w:rFonts w:hint="eastAsia" w:ascii="宋体" w:hAnsi="宋体" w:cs="宋体"/>
          <w:sz w:val="18"/>
          <w:szCs w:val="18"/>
          <w:lang w:val="en-US" w:eastAsia="zh-CN" w:bidi="ar"/>
        </w:rPr>
        <w:t>AI+数据推荐</w:t>
      </w:r>
    </w:p>
    <w:tbl>
      <w:tblPr>
        <w:tblStyle w:val="18"/>
        <w:tblW w:w="84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3458"/>
        <w:gridCol w:w="1327"/>
        <w:gridCol w:w="1341"/>
      </w:tblGrid>
      <w:tr w14:paraId="2B6BE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95" w:type="dxa"/>
            <w:shd w:val="clear" w:color="auto" w:fill="E6E6E6"/>
            <w:noWrap w:val="0"/>
            <w:vAlign w:val="center"/>
          </w:tcPr>
          <w:p w14:paraId="28EE30B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240" w:type="dxa"/>
            <w:shd w:val="clear" w:color="auto" w:fill="E6E6E6"/>
            <w:noWrap w:val="0"/>
            <w:vAlign w:val="center"/>
          </w:tcPr>
          <w:p w14:paraId="4A51B18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3458" w:type="dxa"/>
            <w:shd w:val="clear" w:color="auto" w:fill="E6E6E6"/>
            <w:noWrap w:val="0"/>
            <w:vAlign w:val="center"/>
          </w:tcPr>
          <w:p w14:paraId="690F44C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27" w:type="dxa"/>
            <w:shd w:val="clear" w:color="auto" w:fill="E6E6E6"/>
            <w:noWrap w:val="0"/>
            <w:vAlign w:val="center"/>
          </w:tcPr>
          <w:p w14:paraId="20F4265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default" w:ascii="宋体" w:hAnsi="宋体" w:eastAsia="宋体" w:cs="宋体"/>
                <w:sz w:val="18"/>
                <w:szCs w:val="18"/>
                <w:lang w:val="en-US" w:eastAsia="zh-CN"/>
              </w:rPr>
            </w:pPr>
            <w:r>
              <w:rPr>
                <w:rFonts w:hint="eastAsia" w:hAnsi="宋体" w:cs="宋体"/>
                <w:sz w:val="18"/>
                <w:szCs w:val="18"/>
                <w:lang w:val="en-US" w:eastAsia="zh-CN"/>
              </w:rPr>
              <w:t>对应课程</w:t>
            </w:r>
          </w:p>
        </w:tc>
        <w:tc>
          <w:tcPr>
            <w:tcW w:w="1341" w:type="dxa"/>
            <w:shd w:val="clear" w:color="auto" w:fill="E6E6E6"/>
            <w:noWrap w:val="0"/>
            <w:vAlign w:val="center"/>
          </w:tcPr>
          <w:p w14:paraId="6B5A1E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default" w:ascii="宋体" w:hAnsi="宋体" w:eastAsia="宋体" w:cs="宋体"/>
                <w:sz w:val="18"/>
                <w:szCs w:val="18"/>
                <w:lang w:val="en-US" w:eastAsia="zh-CN"/>
              </w:rPr>
            </w:pPr>
            <w:r>
              <w:rPr>
                <w:rFonts w:hint="eastAsia" w:hAnsi="宋体" w:cs="宋体"/>
                <w:sz w:val="18"/>
                <w:szCs w:val="18"/>
                <w:lang w:val="en-US" w:eastAsia="zh-CN"/>
              </w:rPr>
              <w:t>对应课时</w:t>
            </w:r>
          </w:p>
        </w:tc>
      </w:tr>
      <w:tr w14:paraId="4B124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1095" w:type="dxa"/>
            <w:vMerge w:val="restart"/>
            <w:noWrap w:val="0"/>
            <w:vAlign w:val="center"/>
          </w:tcPr>
          <w:p w14:paraId="61BCA7F2">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default" w:ascii="宋体" w:hAnsi="宋体" w:eastAsia="宋体" w:cs="宋体"/>
                <w:sz w:val="18"/>
                <w:szCs w:val="18"/>
                <w:lang w:val="en-US" w:eastAsia="zh-CN" w:bidi="ar"/>
              </w:rPr>
            </w:pPr>
            <w:r>
              <w:rPr>
                <w:rFonts w:hint="eastAsia" w:ascii="宋体" w:hAnsi="宋体" w:eastAsia="宋体" w:cs="宋体"/>
                <w:sz w:val="18"/>
                <w:szCs w:val="18"/>
                <w:lang w:bidi="ar"/>
              </w:rPr>
              <w:br w:type="textWrapping"/>
            </w:r>
            <w:r>
              <w:rPr>
                <w:rFonts w:hint="eastAsia" w:ascii="宋体" w:hAnsi="宋体" w:cs="宋体"/>
                <w:sz w:val="18"/>
                <w:szCs w:val="18"/>
                <w:lang w:val="en-US" w:eastAsia="zh-CN" w:bidi="ar"/>
              </w:rPr>
              <w:t>AI+数据推荐</w:t>
            </w:r>
          </w:p>
          <w:p w14:paraId="61ECB12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7DF828A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3458" w:type="dxa"/>
            <w:noWrap w:val="0"/>
            <w:vAlign w:val="center"/>
          </w:tcPr>
          <w:p w14:paraId="21CB13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打开并登录AI科研平台</w:t>
            </w:r>
          </w:p>
        </w:tc>
        <w:tc>
          <w:tcPr>
            <w:tcW w:w="1327" w:type="dxa"/>
            <w:vMerge w:val="restart"/>
            <w:noWrap w:val="0"/>
            <w:vAlign w:val="center"/>
          </w:tcPr>
          <w:p w14:paraId="7A037D8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hAnsi="宋体" w:cs="宋体"/>
                <w:sz w:val="18"/>
                <w:szCs w:val="18"/>
                <w:lang w:eastAsia="zh-CN"/>
              </w:rPr>
              <w:t>《论文写作方法与实践》、《</w:t>
            </w:r>
            <w:r>
              <w:rPr>
                <w:rFonts w:ascii="宋体" w:hAnsi="宋体" w:eastAsia="宋体" w:cs="宋体"/>
                <w:sz w:val="18"/>
                <w:szCs w:val="18"/>
              </w:rPr>
              <w:t>科研思维与论文写作</w:t>
            </w:r>
            <w:r>
              <w:rPr>
                <w:rFonts w:hint="eastAsia" w:hAnsi="宋体" w:cs="宋体"/>
                <w:sz w:val="18"/>
                <w:szCs w:val="18"/>
                <w:lang w:eastAsia="zh-CN"/>
              </w:rPr>
              <w:t>》、《</w:t>
            </w:r>
            <w:r>
              <w:rPr>
                <w:rFonts w:ascii="宋体" w:hAnsi="宋体" w:eastAsia="宋体" w:cs="宋体"/>
                <w:sz w:val="18"/>
                <w:szCs w:val="18"/>
              </w:rPr>
              <w:t>研究方法与学术写作</w:t>
            </w:r>
            <w:r>
              <w:rPr>
                <w:rFonts w:hint="eastAsia" w:hAnsi="宋体" w:cs="宋体"/>
                <w:sz w:val="18"/>
                <w:szCs w:val="18"/>
                <w:lang w:eastAsia="zh-CN"/>
              </w:rPr>
              <w:t>》</w:t>
            </w:r>
          </w:p>
        </w:tc>
        <w:tc>
          <w:tcPr>
            <w:tcW w:w="1341" w:type="dxa"/>
            <w:vMerge w:val="restart"/>
            <w:noWrap w:val="0"/>
            <w:vAlign w:val="center"/>
          </w:tcPr>
          <w:p w14:paraId="52BC71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default" w:ascii="宋体" w:hAnsi="宋体" w:eastAsia="宋体" w:cs="宋体"/>
                <w:spacing w:val="10"/>
                <w:sz w:val="18"/>
                <w:szCs w:val="18"/>
                <w:lang w:val="en-US" w:eastAsia="zh-CN"/>
              </w:rPr>
            </w:pPr>
            <w:r>
              <w:rPr>
                <w:rFonts w:hint="eastAsia" w:hAnsi="宋体" w:cs="宋体"/>
                <w:spacing w:val="10"/>
                <w:sz w:val="18"/>
                <w:szCs w:val="18"/>
                <w:lang w:val="en-US" w:eastAsia="zh-CN"/>
              </w:rPr>
              <w:t>3课时</w:t>
            </w:r>
          </w:p>
        </w:tc>
      </w:tr>
      <w:tr w14:paraId="42216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95" w:type="dxa"/>
            <w:vMerge w:val="continue"/>
            <w:noWrap w:val="0"/>
            <w:vAlign w:val="center"/>
          </w:tcPr>
          <w:p w14:paraId="178AD5C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restart"/>
            <w:noWrap w:val="0"/>
            <w:vAlign w:val="center"/>
          </w:tcPr>
          <w:p w14:paraId="4B5B2C4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3458" w:type="dxa"/>
            <w:noWrap w:val="0"/>
            <w:vAlign w:val="center"/>
          </w:tcPr>
          <w:p w14:paraId="3082F9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default" w:ascii="宋体" w:hAnsi="宋体" w:eastAsia="宋体" w:cs="宋体"/>
                <w:spacing w:val="10"/>
                <w:sz w:val="18"/>
                <w:szCs w:val="18"/>
                <w:lang w:val="en-US" w:eastAsia="zh-CN"/>
              </w:rPr>
            </w:pPr>
            <w:r>
              <w:rPr>
                <w:rFonts w:hint="eastAsia" w:hAnsi="宋体" w:cs="宋体"/>
                <w:spacing w:val="10"/>
                <w:sz w:val="18"/>
                <w:szCs w:val="18"/>
                <w:lang w:val="en-US" w:eastAsia="zh-CN"/>
              </w:rPr>
              <w:t>输入研究主题，确定时间范围，得到数据指标名称</w:t>
            </w:r>
          </w:p>
        </w:tc>
        <w:tc>
          <w:tcPr>
            <w:tcW w:w="1327" w:type="dxa"/>
            <w:vMerge w:val="continue"/>
            <w:noWrap w:val="0"/>
            <w:vAlign w:val="center"/>
          </w:tcPr>
          <w:p w14:paraId="4E41268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341" w:type="dxa"/>
            <w:vMerge w:val="continue"/>
            <w:noWrap w:val="0"/>
            <w:vAlign w:val="center"/>
          </w:tcPr>
          <w:p w14:paraId="0764529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0D54A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6902FF7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531C4F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458" w:type="dxa"/>
            <w:noWrap w:val="0"/>
            <w:vAlign w:val="top"/>
          </w:tcPr>
          <w:p w14:paraId="513E94E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default" w:ascii="宋体" w:hAnsi="宋体" w:eastAsia="宋体" w:cs="宋体"/>
                <w:spacing w:val="10"/>
                <w:sz w:val="18"/>
                <w:szCs w:val="18"/>
                <w:lang w:val="en-US" w:eastAsia="zh-CN"/>
              </w:rPr>
            </w:pPr>
            <w:r>
              <w:rPr>
                <w:rFonts w:hint="eastAsia" w:hAnsi="宋体" w:cs="宋体"/>
                <w:spacing w:val="10"/>
                <w:sz w:val="18"/>
                <w:szCs w:val="18"/>
                <w:lang w:val="en-US" w:eastAsia="zh-CN"/>
              </w:rPr>
              <w:t>输入研究对象，探索代理变量并基于数据指标列出</w:t>
            </w:r>
          </w:p>
        </w:tc>
        <w:tc>
          <w:tcPr>
            <w:tcW w:w="1327" w:type="dxa"/>
            <w:vMerge w:val="continue"/>
            <w:noWrap w:val="0"/>
            <w:vAlign w:val="center"/>
          </w:tcPr>
          <w:p w14:paraId="342EE5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341" w:type="dxa"/>
            <w:vMerge w:val="continue"/>
            <w:noWrap w:val="0"/>
            <w:vAlign w:val="center"/>
          </w:tcPr>
          <w:p w14:paraId="45B393A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7E58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95" w:type="dxa"/>
            <w:vMerge w:val="continue"/>
            <w:noWrap w:val="0"/>
            <w:vAlign w:val="center"/>
          </w:tcPr>
          <w:p w14:paraId="297D57E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vMerge w:val="continue"/>
            <w:noWrap w:val="0"/>
            <w:vAlign w:val="center"/>
          </w:tcPr>
          <w:p w14:paraId="03D5B79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3458" w:type="dxa"/>
            <w:noWrap w:val="0"/>
            <w:vAlign w:val="top"/>
          </w:tcPr>
          <w:p w14:paraId="5DA7A1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default" w:hAnsi="宋体" w:cs="宋体"/>
                <w:spacing w:val="10"/>
                <w:sz w:val="18"/>
                <w:szCs w:val="18"/>
                <w:lang w:val="en-US" w:eastAsia="zh-CN"/>
              </w:rPr>
            </w:pPr>
            <w:r>
              <w:rPr>
                <w:rFonts w:hint="eastAsia" w:hAnsi="宋体" w:cs="宋体"/>
                <w:spacing w:val="10"/>
                <w:sz w:val="18"/>
                <w:szCs w:val="18"/>
                <w:lang w:val="en-US" w:eastAsia="zh-CN"/>
              </w:rPr>
              <w:t>输入复核指标名称，</w:t>
            </w:r>
            <w:r>
              <w:rPr>
                <w:rFonts w:ascii="Segoe UI" w:hAnsi="Segoe UI" w:eastAsia="Segoe UI" w:cs="Segoe UI"/>
                <w:i w:val="0"/>
                <w:iCs w:val="0"/>
                <w:caps w:val="0"/>
                <w:spacing w:val="0"/>
                <w:sz w:val="18"/>
                <w:szCs w:val="18"/>
                <w:shd w:val="clear" w:fill="FFFFFF"/>
              </w:rPr>
              <w:t>复合指标的完整指标体系并确定相关权重</w:t>
            </w:r>
          </w:p>
        </w:tc>
        <w:tc>
          <w:tcPr>
            <w:tcW w:w="1327" w:type="dxa"/>
            <w:vMerge w:val="continue"/>
            <w:noWrap w:val="0"/>
            <w:vAlign w:val="center"/>
          </w:tcPr>
          <w:p w14:paraId="4586BDD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341" w:type="dxa"/>
            <w:vMerge w:val="continue"/>
            <w:noWrap w:val="0"/>
            <w:vAlign w:val="center"/>
          </w:tcPr>
          <w:p w14:paraId="52E96BA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6077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95" w:type="dxa"/>
            <w:vMerge w:val="continue"/>
            <w:noWrap w:val="0"/>
            <w:vAlign w:val="center"/>
          </w:tcPr>
          <w:p w14:paraId="003DA01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240" w:type="dxa"/>
            <w:noWrap w:val="0"/>
            <w:vAlign w:val="center"/>
          </w:tcPr>
          <w:p w14:paraId="51E2B3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3458" w:type="dxa"/>
            <w:noWrap w:val="0"/>
            <w:vAlign w:val="center"/>
          </w:tcPr>
          <w:p w14:paraId="6AD925C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default" w:ascii="宋体" w:hAnsi="宋体" w:eastAsia="宋体" w:cs="宋体"/>
                <w:spacing w:val="10"/>
                <w:sz w:val="18"/>
                <w:szCs w:val="18"/>
                <w:lang w:val="en-US" w:eastAsia="zh-CN"/>
              </w:rPr>
            </w:pPr>
            <w:r>
              <w:rPr>
                <w:rFonts w:hint="eastAsia" w:hAnsi="宋体" w:cs="宋体"/>
                <w:spacing w:val="10"/>
                <w:sz w:val="18"/>
                <w:szCs w:val="18"/>
                <w:lang w:val="en-US" w:eastAsia="zh-CN"/>
              </w:rPr>
              <w:t>判断数据指标的合理性及可行性</w:t>
            </w:r>
          </w:p>
        </w:tc>
        <w:tc>
          <w:tcPr>
            <w:tcW w:w="1327" w:type="dxa"/>
            <w:vMerge w:val="continue"/>
            <w:noWrap w:val="0"/>
            <w:vAlign w:val="center"/>
          </w:tcPr>
          <w:p w14:paraId="33619C8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341" w:type="dxa"/>
            <w:vMerge w:val="continue"/>
            <w:noWrap w:val="0"/>
            <w:vAlign w:val="center"/>
          </w:tcPr>
          <w:p w14:paraId="06F9F66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D2A95CF">
      <w:pPr>
        <w:pageBreakBefore w:val="0"/>
        <w:widowControl w:val="0"/>
        <w:numPr>
          <w:ilvl w:val="0"/>
          <w:numId w:val="8"/>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0B85742C">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rPr>
        <w:t>了解实验背景、实验目标</w:t>
      </w:r>
    </w:p>
    <w:p w14:paraId="7BDDE556">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打开并登录</w:t>
      </w:r>
      <w:r>
        <w:rPr>
          <w:rFonts w:hint="eastAsia" w:ascii="宋体" w:hAnsi="宋体" w:cs="宋体"/>
          <w:sz w:val="21"/>
          <w:szCs w:val="21"/>
          <w:lang w:val="en-US" w:eastAsia="zh-CN"/>
        </w:rPr>
        <w:t>AI科研平台</w:t>
      </w:r>
    </w:p>
    <w:p w14:paraId="6F715B2C">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对</w:t>
      </w:r>
      <w:r>
        <w:rPr>
          <w:rFonts w:hint="eastAsia" w:ascii="宋体" w:hAnsi="宋体" w:cs="宋体"/>
          <w:sz w:val="21"/>
          <w:szCs w:val="21"/>
          <w:lang w:val="en-US" w:eastAsia="zh-CN"/>
        </w:rPr>
        <w:t>比判断数据指标</w:t>
      </w:r>
    </w:p>
    <w:p w14:paraId="2FFF603A">
      <w:pPr>
        <w:pageBreakBefore w:val="0"/>
        <w:widowControl w:val="0"/>
        <w:numPr>
          <w:ilvl w:val="0"/>
          <w:numId w:val="8"/>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7CE3E88D">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cs="宋体"/>
          <w:sz w:val="21"/>
          <w:szCs w:val="21"/>
          <w:lang w:val="en-US" w:eastAsia="zh-CN"/>
        </w:rPr>
        <w:t>获取相关数据指标</w:t>
      </w:r>
    </w:p>
    <w:p w14:paraId="38595B40">
      <w:pPr>
        <w:pStyle w:val="2"/>
        <w:ind w:left="0" w:leftChars="0" w:firstLine="0" w:firstLineChars="0"/>
        <w:rPr>
          <w:rFonts w:hint="eastAsia"/>
        </w:rPr>
      </w:pPr>
      <w:r>
        <w:rPr>
          <w:rFonts w:ascii="宋体" w:hAnsi="宋体" w:eastAsia="宋体" w:cs="宋体"/>
          <w:sz w:val="24"/>
          <w:szCs w:val="24"/>
        </w:rPr>
        <w:drawing>
          <wp:inline distT="0" distB="0" distL="114300" distR="114300">
            <wp:extent cx="5445760" cy="1819910"/>
            <wp:effectExtent l="0" t="0" r="0" b="8890"/>
            <wp:docPr id="2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IMG_256"/>
                    <pic:cNvPicPr>
                      <a:picLocks noChangeAspect="1"/>
                    </pic:cNvPicPr>
                  </pic:nvPicPr>
                  <pic:blipFill>
                    <a:blip r:embed="rId22"/>
                    <a:stretch>
                      <a:fillRect/>
                    </a:stretch>
                  </pic:blipFill>
                  <pic:spPr>
                    <a:xfrm>
                      <a:off x="0" y="0"/>
                      <a:ext cx="5445760" cy="1819910"/>
                    </a:xfrm>
                    <a:prstGeom prst="rect">
                      <a:avLst/>
                    </a:prstGeom>
                    <a:noFill/>
                    <a:ln w="9525">
                      <a:noFill/>
                    </a:ln>
                  </pic:spPr>
                </pic:pic>
              </a:graphicData>
            </a:graphic>
          </wp:inline>
        </w:drawing>
      </w:r>
    </w:p>
    <w:p w14:paraId="2297B826">
      <w:pPr>
        <w:pStyle w:val="2"/>
        <w:ind w:left="0" w:leftChars="0" w:firstLine="0" w:firstLineChars="0"/>
        <w:rPr>
          <w:rFonts w:ascii="宋体" w:hAnsi="宋体" w:eastAsia="宋体" w:cs="宋体"/>
          <w:sz w:val="24"/>
          <w:szCs w:val="24"/>
        </w:rPr>
      </w:pPr>
      <w:r>
        <w:drawing>
          <wp:inline distT="0" distB="0" distL="114300" distR="114300">
            <wp:extent cx="5273675" cy="5563235"/>
            <wp:effectExtent l="0" t="0" r="14605" b="1460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3"/>
                    <a:stretch>
                      <a:fillRect/>
                    </a:stretch>
                  </pic:blipFill>
                  <pic:spPr>
                    <a:xfrm>
                      <a:off x="0" y="0"/>
                      <a:ext cx="5273675" cy="5563235"/>
                    </a:xfrm>
                    <a:prstGeom prst="rect">
                      <a:avLst/>
                    </a:prstGeom>
                    <a:noFill/>
                    <a:ln>
                      <a:noFill/>
                    </a:ln>
                  </pic:spPr>
                </pic:pic>
              </a:graphicData>
            </a:graphic>
          </wp:inline>
        </w:drawing>
      </w:r>
    </w:p>
    <w:p w14:paraId="2A028191">
      <w:pPr>
        <w:pStyle w:val="2"/>
        <w:ind w:left="0" w:leftChars="0" w:firstLine="0" w:firstLineChars="0"/>
        <w:rPr>
          <w:rFonts w:hint="eastAsia" w:ascii="宋体" w:hAnsi="宋体" w:eastAsia="宋体" w:cs="宋体"/>
          <w:sz w:val="24"/>
          <w:szCs w:val="24"/>
        </w:rPr>
      </w:pPr>
      <w:r>
        <w:drawing>
          <wp:inline distT="0" distB="0" distL="114300" distR="114300">
            <wp:extent cx="5266055" cy="2056130"/>
            <wp:effectExtent l="0" t="0" r="6985" b="127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24"/>
                    <a:stretch>
                      <a:fillRect/>
                    </a:stretch>
                  </pic:blipFill>
                  <pic:spPr>
                    <a:xfrm>
                      <a:off x="0" y="0"/>
                      <a:ext cx="5266055" cy="2056130"/>
                    </a:xfrm>
                    <a:prstGeom prst="rect">
                      <a:avLst/>
                    </a:prstGeom>
                    <a:noFill/>
                    <a:ln>
                      <a:noFill/>
                    </a:ln>
                  </pic:spPr>
                </pic:pic>
              </a:graphicData>
            </a:graphic>
          </wp:inline>
        </w:drawing>
      </w:r>
    </w:p>
    <w:p w14:paraId="714736F4">
      <w:pPr>
        <w:pStyle w:val="6"/>
        <w:keepNext/>
        <w:keepLines/>
        <w:pageBreakBefore w:val="0"/>
        <w:widowControl w:val="0"/>
        <w:numPr>
          <w:ilvl w:val="1"/>
          <w:numId w:val="5"/>
        </w:numPr>
        <w:tabs>
          <w:tab w:val="left" w:pos="1320"/>
        </w:tabs>
        <w:kinsoku/>
        <w:wordWrap/>
        <w:overflowPunct/>
        <w:topLinePunct w:val="0"/>
        <w:autoSpaceDE/>
        <w:autoSpaceDN/>
        <w:bidi w:val="0"/>
        <w:adjustRightInd w:val="0"/>
        <w:snapToGrid w:val="0"/>
        <w:spacing w:beforeAutospacing="0" w:afterAutospacing="0" w:line="360" w:lineRule="auto"/>
        <w:ind w:left="0" w:right="0" w:firstLine="422" w:firstLineChars="200"/>
        <w:textAlignment w:val="auto"/>
        <w:outlineLvl w:val="2"/>
        <w:rPr>
          <w:rFonts w:hint="eastAsia" w:ascii="宋体" w:hAnsi="宋体" w:eastAsia="宋体" w:cs="宋体"/>
          <w:b/>
          <w:sz w:val="21"/>
          <w:szCs w:val="21"/>
          <w:lang w:val="en-US" w:eastAsia="zh-CN"/>
        </w:rPr>
      </w:pPr>
      <w:bookmarkStart w:id="24" w:name="_Toc7626"/>
      <w:bookmarkStart w:id="25" w:name="_Toc30721"/>
      <w:r>
        <w:rPr>
          <w:rFonts w:hint="eastAsia" w:ascii="宋体" w:hAnsi="宋体" w:cs="宋体"/>
          <w:b/>
          <w:sz w:val="21"/>
          <w:szCs w:val="21"/>
          <w:lang w:val="en-US" w:eastAsia="zh-CN"/>
        </w:rPr>
        <w:t>AI+实证分析</w:t>
      </w:r>
      <w:bookmarkEnd w:id="24"/>
      <w:bookmarkEnd w:id="25"/>
    </w:p>
    <w:p w14:paraId="363899FF">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实验背景</w:t>
      </w:r>
    </w:p>
    <w:p w14:paraId="3FA0C82F">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以前做计量分析的时候，</w:t>
      </w:r>
      <w:r>
        <w:rPr>
          <w:rFonts w:hint="eastAsia" w:ascii="宋体" w:hAnsi="宋体" w:eastAsia="宋体" w:cs="宋体"/>
          <w:sz w:val="21"/>
          <w:szCs w:val="21"/>
          <w:lang w:val="en-US" w:eastAsia="zh-CN"/>
        </w:rPr>
        <w:t>通常是借助stata、Eviews、R、spss、Python软件进行计量建模等，通常是</w:t>
      </w:r>
      <w:r>
        <w:rPr>
          <w:rFonts w:hint="eastAsia" w:ascii="宋体" w:hAnsi="宋体" w:eastAsia="宋体" w:cs="宋体"/>
          <w:sz w:val="21"/>
          <w:szCs w:val="21"/>
        </w:rPr>
        <w:t>首先下载数据，然后清洗数据，接着还要处理面板数据，最后输入一大串代码才能进行回归分析</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不仅步骤烦琐，还有一大堆软件需要学习，甚至记不住相关代码</w:t>
      </w:r>
      <w:r>
        <w:rPr>
          <w:rFonts w:hint="eastAsia" w:ascii="宋体" w:hAnsi="宋体" w:eastAsia="宋体" w:cs="宋体"/>
          <w:sz w:val="21"/>
          <w:szCs w:val="21"/>
        </w:rPr>
        <w:t>。那有没有更简便的方法</w:t>
      </w:r>
      <w:r>
        <w:rPr>
          <w:rFonts w:hint="eastAsia" w:ascii="宋体" w:hAnsi="宋体" w:eastAsia="宋体" w:cs="宋体"/>
          <w:sz w:val="21"/>
          <w:szCs w:val="21"/>
          <w:lang w:val="en-US" w:eastAsia="zh-CN"/>
        </w:rPr>
        <w:t>快速实现数据处理、数据分析、计量建模测算呢？</w:t>
      </w:r>
    </w:p>
    <w:p w14:paraId="7C2116C2">
      <w:pPr>
        <w:pageBreakBefore w:val="0"/>
        <w:widowControl w:val="0"/>
        <w:kinsoku/>
        <w:wordWrap/>
        <w:overflowPunct/>
        <w:topLinePunct w:val="0"/>
        <w:autoSpaceDE/>
        <w:autoSpaceDN/>
        <w:bidi w:val="0"/>
        <w:adjustRightInd w:val="0"/>
        <w:snapToGrid w:val="0"/>
        <w:spacing w:beforeAutospacing="0" w:afterAutospacing="0" w:line="360" w:lineRule="auto"/>
        <w:ind w:right="0" w:firstLine="420"/>
        <w:jc w:val="left"/>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借用</w:t>
      </w:r>
      <w:r>
        <w:rPr>
          <w:rFonts w:hint="eastAsia" w:ascii="宋体" w:hAnsi="宋体" w:cs="宋体"/>
          <w:sz w:val="21"/>
          <w:szCs w:val="21"/>
          <w:lang w:val="en-US" w:eastAsia="zh-CN"/>
        </w:rPr>
        <w:t>AI科研</w:t>
      </w:r>
      <w:r>
        <w:rPr>
          <w:rFonts w:hint="eastAsia" w:ascii="宋体" w:hAnsi="宋体" w:eastAsia="宋体" w:cs="宋体"/>
          <w:sz w:val="21"/>
          <w:szCs w:val="21"/>
          <w:lang w:val="en-US" w:eastAsia="zh-CN"/>
        </w:rPr>
        <w:t>平台，全程</w:t>
      </w:r>
      <w:r>
        <w:rPr>
          <w:rFonts w:hint="eastAsia" w:ascii="宋体" w:hAnsi="宋体" w:cs="宋体"/>
          <w:sz w:val="21"/>
          <w:szCs w:val="21"/>
          <w:lang w:val="en-US" w:eastAsia="zh-CN"/>
        </w:rPr>
        <w:t>0代码</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对话</w:t>
      </w:r>
      <w:r>
        <w:rPr>
          <w:rFonts w:hint="eastAsia" w:ascii="宋体" w:hAnsi="宋体" w:eastAsia="宋体" w:cs="宋体"/>
          <w:sz w:val="21"/>
          <w:szCs w:val="21"/>
          <w:lang w:val="en-US" w:eastAsia="zh-CN"/>
        </w:rPr>
        <w:t>方式实现读取数据、数据预处理、各类检验、数据可视化、特征工程、文本分析、调试工具、stata计量建模分析等科研分析任务，包括稳健性测试、工具变量检验、作用渠道检验、异质性检验、双重差分模型、双向固定效应模型、渐进双重差分模型、交叠双重差分模型、β收敛模型，统统可以完美复现，还有stata代码和Python代码可以再次验证数据。</w:t>
      </w:r>
      <w:r>
        <w:rPr>
          <w:rFonts w:hint="eastAsia" w:ascii="宋体" w:hAnsi="宋体" w:cs="宋体"/>
          <w:sz w:val="21"/>
          <w:szCs w:val="21"/>
          <w:lang w:val="en-US" w:eastAsia="zh-CN"/>
        </w:rPr>
        <w:t>也可在下面的建模平台教学案例中调用各模型。</w:t>
      </w:r>
    </w:p>
    <w:p w14:paraId="25F627C7">
      <w:pPr>
        <w:pStyle w:val="7"/>
        <w:pageBreakBefore w:val="0"/>
        <w:widowControl w:val="0"/>
        <w:numPr>
          <w:ilvl w:val="2"/>
          <w:numId w:val="6"/>
        </w:numPr>
        <w:kinsoku/>
        <w:wordWrap/>
        <w:overflowPunct/>
        <w:topLinePunct w:val="0"/>
        <w:autoSpaceDE/>
        <w:autoSpaceDN/>
        <w:bidi w:val="0"/>
        <w:adjustRightInd w:val="0"/>
        <w:snapToGrid w:val="0"/>
        <w:spacing w:before="0" w:beforeLines="0" w:beforeAutospacing="0" w:after="0" w:afterLines="0" w:afterAutospacing="0" w:line="360" w:lineRule="auto"/>
        <w:ind w:right="0" w:firstLine="422"/>
        <w:textAlignment w:val="auto"/>
        <w:outlineLvl w:val="3"/>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实验内容</w:t>
      </w:r>
    </w:p>
    <w:p w14:paraId="0A05F8C8">
      <w:pPr>
        <w:pageBreakBefore w:val="0"/>
        <w:widowControl w:val="0"/>
        <w:kinsoku/>
        <w:wordWrap/>
        <w:overflowPunct/>
        <w:topLinePunct w:val="0"/>
        <w:autoSpaceDE/>
        <w:autoSpaceDN/>
        <w:bidi w:val="0"/>
        <w:adjustRightInd w:val="0"/>
        <w:snapToGrid w:val="0"/>
        <w:spacing w:beforeAutospacing="0" w:afterAutospacing="0" w:line="360" w:lineRule="auto"/>
        <w:ind w:right="0" w:firstLine="360"/>
        <w:jc w:val="center"/>
        <w:textAlignment w:val="auto"/>
        <w:rPr>
          <w:rFonts w:hint="eastAsia" w:ascii="宋体" w:hAnsi="宋体" w:eastAsia="宋体" w:cs="宋体"/>
          <w:sz w:val="18"/>
          <w:szCs w:val="18"/>
          <w:lang w:val="en-US" w:eastAsia="zh-CN" w:bidi="ar"/>
        </w:rPr>
      </w:pPr>
      <w:r>
        <w:rPr>
          <w:rFonts w:hint="eastAsia" w:ascii="宋体" w:hAnsi="宋体" w:eastAsia="宋体" w:cs="宋体"/>
          <w:sz w:val="18"/>
          <w:szCs w:val="18"/>
          <w:lang w:bidi="ar"/>
        </w:rPr>
        <w:t>表</w:t>
      </w:r>
      <w:r>
        <w:rPr>
          <w:rFonts w:hint="eastAsia" w:ascii="宋体" w:hAnsi="宋体" w:cs="宋体"/>
          <w:sz w:val="18"/>
          <w:szCs w:val="18"/>
          <w:lang w:val="en-US" w:eastAsia="zh-CN" w:bidi="ar"/>
        </w:rPr>
        <w:t>1-3</w:t>
      </w:r>
      <w:r>
        <w:rPr>
          <w:rFonts w:hint="eastAsia" w:ascii="宋体" w:hAnsi="宋体" w:eastAsia="宋体" w:cs="宋体"/>
          <w:sz w:val="18"/>
          <w:szCs w:val="18"/>
          <w:lang w:val="en-US" w:eastAsia="zh-CN" w:bidi="ar"/>
        </w:rPr>
        <w:t xml:space="preserve"> </w:t>
      </w:r>
      <w:r>
        <w:rPr>
          <w:rFonts w:hint="eastAsia" w:ascii="宋体" w:hAnsi="宋体" w:cs="宋体"/>
          <w:sz w:val="18"/>
          <w:szCs w:val="18"/>
          <w:lang w:val="en-US" w:eastAsia="zh-CN" w:bidi="ar"/>
        </w:rPr>
        <w:t>AI+</w:t>
      </w:r>
      <w:r>
        <w:rPr>
          <w:rFonts w:hint="eastAsia" w:ascii="宋体" w:hAnsi="宋体" w:eastAsia="宋体" w:cs="宋体"/>
          <w:sz w:val="18"/>
          <w:szCs w:val="18"/>
          <w:lang w:val="en-US" w:eastAsia="zh-CN" w:bidi="ar"/>
        </w:rPr>
        <w:t>实证分析</w:t>
      </w:r>
    </w:p>
    <w:tbl>
      <w:tblPr>
        <w:tblStyle w:val="18"/>
        <w:tblW w:w="98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0"/>
        <w:gridCol w:w="1016"/>
        <w:gridCol w:w="5617"/>
        <w:gridCol w:w="1249"/>
        <w:gridCol w:w="983"/>
      </w:tblGrid>
      <w:tr w14:paraId="702FE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000" w:type="dxa"/>
            <w:shd w:val="clear" w:color="auto" w:fill="E6E6E6"/>
            <w:noWrap w:val="0"/>
            <w:vAlign w:val="center"/>
          </w:tcPr>
          <w:p w14:paraId="7357E89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016" w:type="dxa"/>
            <w:shd w:val="clear" w:color="auto" w:fill="E6E6E6"/>
            <w:noWrap w:val="0"/>
            <w:vAlign w:val="center"/>
          </w:tcPr>
          <w:p w14:paraId="5DDDE2F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5617" w:type="dxa"/>
            <w:shd w:val="clear" w:color="auto" w:fill="E6E6E6"/>
            <w:noWrap w:val="0"/>
            <w:vAlign w:val="center"/>
          </w:tcPr>
          <w:p w14:paraId="62C6E7C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249" w:type="dxa"/>
            <w:shd w:val="clear" w:color="auto" w:fill="E6E6E6"/>
            <w:noWrap w:val="0"/>
            <w:vAlign w:val="center"/>
          </w:tcPr>
          <w:p w14:paraId="5B700CF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rightChars="0" w:firstLine="0" w:firstLineChars="0"/>
              <w:jc w:val="center"/>
              <w:textAlignment w:val="auto"/>
              <w:rPr>
                <w:rFonts w:hint="eastAsia" w:ascii="宋体" w:hAnsi="宋体" w:eastAsia="宋体" w:cs="宋体"/>
                <w:kern w:val="2"/>
                <w:sz w:val="18"/>
                <w:szCs w:val="18"/>
                <w:lang w:val="en-US" w:eastAsia="zh-CN" w:bidi="ar-SA"/>
              </w:rPr>
            </w:pPr>
            <w:r>
              <w:rPr>
                <w:rFonts w:hint="eastAsia" w:ascii="宋体" w:hAnsi="宋体" w:eastAsia="宋体" w:cs="宋体"/>
                <w:sz w:val="18"/>
                <w:szCs w:val="18"/>
                <w:lang w:val="en-US" w:eastAsia="zh-CN"/>
              </w:rPr>
              <w:t>对应课程</w:t>
            </w:r>
          </w:p>
        </w:tc>
        <w:tc>
          <w:tcPr>
            <w:tcW w:w="983" w:type="dxa"/>
            <w:shd w:val="clear" w:color="auto" w:fill="E6E6E6"/>
            <w:noWrap w:val="0"/>
            <w:vAlign w:val="center"/>
          </w:tcPr>
          <w:p w14:paraId="7350026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rightChars="0" w:firstLine="0" w:firstLineChars="0"/>
              <w:jc w:val="center"/>
              <w:textAlignment w:val="auto"/>
              <w:rPr>
                <w:rFonts w:hint="eastAsia" w:ascii="宋体" w:hAnsi="宋体" w:eastAsia="宋体" w:cs="宋体"/>
                <w:kern w:val="2"/>
                <w:sz w:val="18"/>
                <w:szCs w:val="18"/>
                <w:lang w:val="en-US" w:eastAsia="zh-CN" w:bidi="ar-SA"/>
              </w:rPr>
            </w:pPr>
            <w:r>
              <w:rPr>
                <w:rFonts w:hint="eastAsia" w:ascii="宋体" w:hAnsi="宋体" w:eastAsia="宋体" w:cs="宋体"/>
                <w:sz w:val="18"/>
                <w:szCs w:val="18"/>
                <w:lang w:val="en-US" w:eastAsia="zh-CN"/>
              </w:rPr>
              <w:t>对应课时</w:t>
            </w:r>
          </w:p>
        </w:tc>
      </w:tr>
      <w:tr w14:paraId="31C23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restart"/>
            <w:noWrap w:val="0"/>
            <w:vAlign w:val="center"/>
          </w:tcPr>
          <w:p w14:paraId="12B4FDB9">
            <w:pPr>
              <w:pageBreakBefore w:val="0"/>
              <w:widowControl w:val="0"/>
              <w:tabs>
                <w:tab w:val="left" w:pos="1320"/>
              </w:tabs>
              <w:kinsoku/>
              <w:wordWrap/>
              <w:overflowPunct/>
              <w:topLinePunct w:val="0"/>
              <w:autoSpaceDE/>
              <w:autoSpaceDN/>
              <w:bidi w:val="0"/>
              <w:adjustRightInd w:val="0"/>
              <w:snapToGrid w:val="0"/>
              <w:spacing w:beforeAutospacing="0" w:afterAutospacing="0" w:line="360" w:lineRule="auto"/>
              <w:ind w:right="0" w:firstLine="0" w:firstLineChars="0"/>
              <w:jc w:val="center"/>
              <w:textAlignment w:val="auto"/>
              <w:rPr>
                <w:rFonts w:hint="default" w:ascii="宋体" w:hAnsi="宋体" w:eastAsia="宋体" w:cs="宋体"/>
                <w:sz w:val="18"/>
                <w:szCs w:val="18"/>
                <w:lang w:val="en-US" w:eastAsia="zh-CN" w:bidi="ar"/>
              </w:rPr>
            </w:pPr>
            <w:r>
              <w:rPr>
                <w:rFonts w:hint="eastAsia" w:ascii="宋体" w:hAnsi="宋体" w:eastAsia="宋体" w:cs="宋体"/>
                <w:sz w:val="18"/>
                <w:szCs w:val="18"/>
                <w:lang w:bidi="ar"/>
              </w:rPr>
              <w:br w:type="textWrapping"/>
            </w:r>
            <w:r>
              <w:rPr>
                <w:rFonts w:hint="eastAsia" w:ascii="宋体" w:hAnsi="宋体" w:eastAsia="宋体" w:cs="宋体"/>
                <w:sz w:val="18"/>
                <w:szCs w:val="18"/>
                <w:lang w:val="en-US" w:eastAsia="zh-CN" w:bidi="ar"/>
              </w:rPr>
              <w:t>AI+实证分析</w:t>
            </w:r>
          </w:p>
          <w:p w14:paraId="7364B45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57758D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实验准备</w:t>
            </w:r>
          </w:p>
        </w:tc>
        <w:tc>
          <w:tcPr>
            <w:tcW w:w="5617" w:type="dxa"/>
            <w:noWrap w:val="0"/>
            <w:vAlign w:val="center"/>
          </w:tcPr>
          <w:p w14:paraId="05EF6AA1">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准备论文数据</w:t>
            </w:r>
          </w:p>
        </w:tc>
        <w:tc>
          <w:tcPr>
            <w:tcW w:w="1249" w:type="dxa"/>
            <w:vMerge w:val="restart"/>
            <w:noWrap w:val="0"/>
            <w:vAlign w:val="center"/>
          </w:tcPr>
          <w:p w14:paraId="7E99929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w:t>
            </w:r>
            <w:r>
              <w:rPr>
                <w:rFonts w:hint="eastAsia" w:ascii="宋体" w:hAnsi="宋体" w:eastAsia="宋体" w:cs="宋体"/>
                <w:sz w:val="18"/>
                <w:szCs w:val="18"/>
              </w:rPr>
              <w:t>AI 赋能实证计量分析</w:t>
            </w:r>
            <w:r>
              <w:rPr>
                <w:rFonts w:hint="eastAsia" w:ascii="宋体" w:hAnsi="宋体" w:eastAsia="宋体" w:cs="宋体"/>
                <w:sz w:val="18"/>
                <w:szCs w:val="18"/>
                <w:lang w:eastAsia="zh-CN"/>
              </w:rPr>
              <w:t>》、《</w:t>
            </w:r>
            <w:r>
              <w:rPr>
                <w:rFonts w:hint="eastAsia" w:ascii="宋体" w:hAnsi="宋体" w:eastAsia="宋体" w:cs="宋体"/>
                <w:sz w:val="18"/>
                <w:szCs w:val="18"/>
              </w:rPr>
              <w:t>AI 辅助实证研究：计量、代码、因果识别全流程</w:t>
            </w:r>
            <w:r>
              <w:rPr>
                <w:rFonts w:hint="eastAsia" w:ascii="宋体" w:hAnsi="宋体" w:eastAsia="宋体" w:cs="宋体"/>
                <w:sz w:val="18"/>
                <w:szCs w:val="18"/>
                <w:lang w:eastAsia="zh-CN"/>
              </w:rPr>
              <w:t>》、《</w:t>
            </w:r>
            <w:r>
              <w:rPr>
                <w:rFonts w:hint="eastAsia" w:ascii="宋体" w:hAnsi="宋体" w:eastAsia="宋体" w:cs="宋体"/>
                <w:sz w:val="18"/>
                <w:szCs w:val="18"/>
              </w:rPr>
              <w:t>研究方法与学术写作</w:t>
            </w:r>
            <w:r>
              <w:rPr>
                <w:rFonts w:hint="eastAsia" w:ascii="宋体" w:hAnsi="宋体" w:eastAsia="宋体" w:cs="宋体"/>
                <w:sz w:val="18"/>
                <w:szCs w:val="18"/>
                <w:lang w:eastAsia="zh-CN"/>
              </w:rPr>
              <w:t>》</w:t>
            </w:r>
          </w:p>
        </w:tc>
        <w:tc>
          <w:tcPr>
            <w:tcW w:w="983" w:type="dxa"/>
            <w:vMerge w:val="restart"/>
            <w:noWrap w:val="0"/>
            <w:vAlign w:val="center"/>
          </w:tcPr>
          <w:p w14:paraId="759ED2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4-6课时</w:t>
            </w:r>
          </w:p>
        </w:tc>
      </w:tr>
      <w:tr w14:paraId="7EA16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49AA6CB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9AC624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20DADFF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打开并登录AI科研平台</w:t>
            </w:r>
          </w:p>
        </w:tc>
        <w:tc>
          <w:tcPr>
            <w:tcW w:w="1249" w:type="dxa"/>
            <w:vMerge w:val="continue"/>
            <w:noWrap w:val="0"/>
            <w:vAlign w:val="center"/>
          </w:tcPr>
          <w:p w14:paraId="6B46264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c>
          <w:tcPr>
            <w:tcW w:w="983" w:type="dxa"/>
            <w:vMerge w:val="continue"/>
            <w:noWrap w:val="0"/>
            <w:vAlign w:val="center"/>
          </w:tcPr>
          <w:p w14:paraId="22D115B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7A0E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19E2B2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5F198EE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00FEC9F9">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进入实证分析</w:t>
            </w:r>
          </w:p>
        </w:tc>
        <w:tc>
          <w:tcPr>
            <w:tcW w:w="1249" w:type="dxa"/>
            <w:vMerge w:val="continue"/>
            <w:noWrap w:val="0"/>
            <w:vAlign w:val="center"/>
          </w:tcPr>
          <w:p w14:paraId="048F4D4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c>
          <w:tcPr>
            <w:tcW w:w="983" w:type="dxa"/>
            <w:vMerge w:val="continue"/>
            <w:noWrap w:val="0"/>
            <w:vAlign w:val="center"/>
          </w:tcPr>
          <w:p w14:paraId="0F87765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pacing w:val="10"/>
                <w:sz w:val="18"/>
                <w:szCs w:val="18"/>
              </w:rPr>
            </w:pPr>
          </w:p>
        </w:tc>
      </w:tr>
      <w:tr w14:paraId="540BB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63FE76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089799B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rPr>
              <w:t>实验实施步骤</w:t>
            </w:r>
          </w:p>
        </w:tc>
        <w:tc>
          <w:tcPr>
            <w:tcW w:w="5617" w:type="dxa"/>
            <w:noWrap w:val="0"/>
            <w:vAlign w:val="center"/>
          </w:tcPr>
          <w:p w14:paraId="67C46ED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分析此论文实证部分的变量设置、模型以及检验，并基于此生成可行的stata代码</w:t>
            </w:r>
          </w:p>
        </w:tc>
        <w:tc>
          <w:tcPr>
            <w:tcW w:w="1249" w:type="dxa"/>
            <w:vMerge w:val="continue"/>
            <w:noWrap w:val="0"/>
            <w:vAlign w:val="center"/>
          </w:tcPr>
          <w:p w14:paraId="4952E3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151FC93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E2D0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6654260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0BE92AF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293B644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根据研究主题、变量、数据特征、计量模型，自动匹配合适的稳健性检验方法</w:t>
            </w:r>
          </w:p>
        </w:tc>
        <w:tc>
          <w:tcPr>
            <w:tcW w:w="1249" w:type="dxa"/>
            <w:vMerge w:val="continue"/>
            <w:noWrap w:val="0"/>
            <w:vAlign w:val="center"/>
          </w:tcPr>
          <w:p w14:paraId="24B0508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1D250A2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37F3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755C899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48F26D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4118E68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匹配</w:t>
            </w:r>
            <w:r>
              <w:rPr>
                <w:rFonts w:hint="eastAsia" w:ascii="宋体" w:hAnsi="宋体" w:eastAsia="宋体" w:cs="宋体"/>
                <w:i w:val="0"/>
                <w:iCs w:val="0"/>
                <w:caps w:val="0"/>
                <w:spacing w:val="0"/>
                <w:sz w:val="18"/>
                <w:szCs w:val="18"/>
                <w:shd w:val="clear" w:fill="FFFFFF"/>
              </w:rPr>
              <w:t>合适的工具变量以及构建工具变量的方法</w:t>
            </w:r>
          </w:p>
        </w:tc>
        <w:tc>
          <w:tcPr>
            <w:tcW w:w="1249" w:type="dxa"/>
            <w:vMerge w:val="continue"/>
            <w:noWrap w:val="0"/>
            <w:vAlign w:val="center"/>
          </w:tcPr>
          <w:p w14:paraId="346916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2580FC97">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2C4EC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34E8C8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34361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627404C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i w:val="0"/>
                <w:iCs w:val="0"/>
                <w:caps w:val="0"/>
                <w:spacing w:val="0"/>
                <w:sz w:val="18"/>
                <w:szCs w:val="18"/>
                <w:shd w:val="clear" w:fill="FFFFFF"/>
              </w:rPr>
              <w:t>针对研究主题与数据特征（如面板结构、时间跨度、样本量），系统比较适用于该情境的潜在模型（如固定效应、随机效应、动态面板GMM模型等）</w:t>
            </w:r>
          </w:p>
        </w:tc>
        <w:tc>
          <w:tcPr>
            <w:tcW w:w="1249" w:type="dxa"/>
            <w:vMerge w:val="continue"/>
            <w:noWrap w:val="0"/>
            <w:vAlign w:val="center"/>
          </w:tcPr>
          <w:p w14:paraId="3CB96AE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03C6D40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1AC7B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8336C9C">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6D3EE693">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7118AC7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i w:val="0"/>
                <w:iCs w:val="0"/>
                <w:caps w:val="0"/>
                <w:spacing w:val="0"/>
                <w:sz w:val="18"/>
                <w:szCs w:val="18"/>
                <w:shd w:val="clear" w:fill="FFFFFF"/>
                <w:lang w:val="en-US" w:eastAsia="zh-CN"/>
              </w:rPr>
              <w:t>自动</w:t>
            </w:r>
            <w:r>
              <w:rPr>
                <w:rFonts w:hint="eastAsia" w:ascii="宋体" w:hAnsi="宋体" w:eastAsia="宋体" w:cs="宋体"/>
                <w:i w:val="0"/>
                <w:iCs w:val="0"/>
                <w:caps w:val="0"/>
                <w:spacing w:val="0"/>
                <w:sz w:val="18"/>
                <w:szCs w:val="18"/>
                <w:shd w:val="clear" w:fill="FFFFFF"/>
              </w:rPr>
              <w:t>识别研究的核心解释变量可能面临的内生性来源（如反向因果、遗漏变量、测量误差），并为每种来源匹配一种主流解决方案（如工具变量法、双重差分DID、滞后项控制、PSM、固定效应）</w:t>
            </w:r>
          </w:p>
        </w:tc>
        <w:tc>
          <w:tcPr>
            <w:tcW w:w="1249" w:type="dxa"/>
            <w:vMerge w:val="continue"/>
            <w:noWrap w:val="0"/>
            <w:vAlign w:val="center"/>
          </w:tcPr>
          <w:p w14:paraId="14A5A9E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36A7DE6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6B389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02F9113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54736D8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031D21C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i w:val="0"/>
                <w:iCs w:val="0"/>
                <w:caps w:val="0"/>
                <w:spacing w:val="0"/>
                <w:sz w:val="18"/>
                <w:szCs w:val="18"/>
                <w:shd w:val="clear" w:fill="FFFFFF"/>
              </w:rPr>
              <w:t>基于研究主题，建议具有理论或政策意义的异质性分组维度（如产权性质、区域发展水平、行业技术密集度、企业生命周期），并说明每个维度为何可能调节主效应。</w:t>
            </w:r>
          </w:p>
        </w:tc>
        <w:tc>
          <w:tcPr>
            <w:tcW w:w="1249" w:type="dxa"/>
            <w:vMerge w:val="continue"/>
            <w:noWrap w:val="0"/>
            <w:vAlign w:val="center"/>
          </w:tcPr>
          <w:p w14:paraId="1E9219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15BFDCEE">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34890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64FE15">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7201C7A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rPr>
            </w:pPr>
          </w:p>
        </w:tc>
        <w:tc>
          <w:tcPr>
            <w:tcW w:w="5617" w:type="dxa"/>
            <w:noWrap w:val="0"/>
            <w:vAlign w:val="center"/>
          </w:tcPr>
          <w:p w14:paraId="3A45202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将实证结果整合为一条连贯的“学术叙事线”，生成一段可用于“实证结果”章节的引导性段落。</w:t>
            </w:r>
          </w:p>
        </w:tc>
        <w:tc>
          <w:tcPr>
            <w:tcW w:w="1249" w:type="dxa"/>
            <w:vMerge w:val="continue"/>
            <w:noWrap w:val="0"/>
            <w:vAlign w:val="center"/>
          </w:tcPr>
          <w:p w14:paraId="568D07E6">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60A50C1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4DF1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5FF5A46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restart"/>
            <w:noWrap w:val="0"/>
            <w:vAlign w:val="center"/>
          </w:tcPr>
          <w:p w14:paraId="60F9DA3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实验总结</w:t>
            </w:r>
          </w:p>
        </w:tc>
        <w:tc>
          <w:tcPr>
            <w:tcW w:w="5617" w:type="dxa"/>
            <w:noWrap w:val="0"/>
            <w:vAlign w:val="center"/>
          </w:tcPr>
          <w:p w14:paraId="7A03DB3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总结实证分析的过程</w:t>
            </w:r>
          </w:p>
        </w:tc>
        <w:tc>
          <w:tcPr>
            <w:tcW w:w="1249" w:type="dxa"/>
            <w:vMerge w:val="continue"/>
            <w:noWrap w:val="0"/>
            <w:vAlign w:val="center"/>
          </w:tcPr>
          <w:p w14:paraId="2FAAE04D">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622F47E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F132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00" w:type="dxa"/>
            <w:vMerge w:val="continue"/>
            <w:noWrap w:val="0"/>
            <w:vAlign w:val="center"/>
          </w:tcPr>
          <w:p w14:paraId="0F534D8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444F1C6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78F3A03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spacing w:val="10"/>
                <w:kern w:val="2"/>
                <w:sz w:val="18"/>
                <w:szCs w:val="18"/>
                <w:lang w:val="en-US" w:eastAsia="zh-CN" w:bidi="ar"/>
              </w:rPr>
            </w:pPr>
            <w:r>
              <w:rPr>
                <w:rFonts w:hint="eastAsia" w:ascii="宋体" w:hAnsi="宋体" w:eastAsia="宋体" w:cs="宋体"/>
                <w:spacing w:val="10"/>
                <w:sz w:val="18"/>
                <w:szCs w:val="18"/>
                <w:lang w:val="en-US" w:eastAsia="zh-CN"/>
              </w:rPr>
              <w:t>总结稳健性检验方法</w:t>
            </w:r>
          </w:p>
        </w:tc>
        <w:tc>
          <w:tcPr>
            <w:tcW w:w="1249" w:type="dxa"/>
            <w:vMerge w:val="continue"/>
            <w:noWrap w:val="0"/>
            <w:vAlign w:val="center"/>
          </w:tcPr>
          <w:p w14:paraId="3B4AA2E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3E843E50">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5D1CE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1D453A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29F2640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452A1FB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textAlignment w:val="auto"/>
              <w:rPr>
                <w:rFonts w:hint="eastAsia" w:ascii="宋体" w:hAnsi="宋体" w:eastAsia="宋体" w:cs="宋体"/>
                <w:spacing w:val="10"/>
                <w:kern w:val="2"/>
                <w:sz w:val="18"/>
                <w:szCs w:val="18"/>
                <w:lang w:val="en-US" w:eastAsia="zh-CN" w:bidi="ar"/>
              </w:rPr>
            </w:pPr>
            <w:r>
              <w:rPr>
                <w:rFonts w:hint="eastAsia" w:ascii="宋体" w:hAnsi="宋体" w:eastAsia="宋体" w:cs="宋体"/>
                <w:spacing w:val="10"/>
                <w:sz w:val="18"/>
                <w:szCs w:val="18"/>
                <w:lang w:val="en-US" w:eastAsia="zh-CN"/>
              </w:rPr>
              <w:t>总结主题与数据特征及潜在模型</w:t>
            </w:r>
          </w:p>
        </w:tc>
        <w:tc>
          <w:tcPr>
            <w:tcW w:w="1249" w:type="dxa"/>
            <w:vMerge w:val="continue"/>
            <w:noWrap w:val="0"/>
            <w:vAlign w:val="center"/>
          </w:tcPr>
          <w:p w14:paraId="1C970CC8">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531AAC4F">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r w14:paraId="7F83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0" w:type="dxa"/>
            <w:vMerge w:val="continue"/>
            <w:noWrap w:val="0"/>
            <w:vAlign w:val="center"/>
          </w:tcPr>
          <w:p w14:paraId="204DFA4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1016" w:type="dxa"/>
            <w:vMerge w:val="continue"/>
            <w:noWrap w:val="0"/>
            <w:vAlign w:val="center"/>
          </w:tcPr>
          <w:p w14:paraId="177BAAAB">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z w:val="18"/>
                <w:szCs w:val="18"/>
              </w:rPr>
            </w:pPr>
          </w:p>
        </w:tc>
        <w:tc>
          <w:tcPr>
            <w:tcW w:w="5617" w:type="dxa"/>
            <w:noWrap w:val="0"/>
            <w:vAlign w:val="center"/>
          </w:tcPr>
          <w:p w14:paraId="016066B4">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textAlignment w:val="auto"/>
              <w:rPr>
                <w:rFonts w:hint="eastAsia" w:ascii="宋体" w:hAnsi="宋体" w:eastAsia="宋体" w:cs="宋体"/>
                <w:spacing w:val="10"/>
                <w:sz w:val="18"/>
                <w:szCs w:val="18"/>
                <w:lang w:val="en-US" w:eastAsia="zh-CN"/>
              </w:rPr>
            </w:pPr>
            <w:r>
              <w:rPr>
                <w:rFonts w:hint="eastAsia" w:ascii="宋体" w:hAnsi="宋体" w:eastAsia="宋体" w:cs="宋体"/>
                <w:spacing w:val="10"/>
                <w:sz w:val="18"/>
                <w:szCs w:val="18"/>
                <w:lang w:val="en-US" w:eastAsia="zh-CN"/>
              </w:rPr>
              <w:t>完成论文的实证分析</w:t>
            </w:r>
          </w:p>
        </w:tc>
        <w:tc>
          <w:tcPr>
            <w:tcW w:w="1249" w:type="dxa"/>
            <w:vMerge w:val="continue"/>
            <w:noWrap w:val="0"/>
            <w:vAlign w:val="center"/>
          </w:tcPr>
          <w:p w14:paraId="4B982B4A">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c>
          <w:tcPr>
            <w:tcW w:w="983" w:type="dxa"/>
            <w:vMerge w:val="continue"/>
            <w:noWrap w:val="0"/>
            <w:vAlign w:val="center"/>
          </w:tcPr>
          <w:p w14:paraId="414BB9E2">
            <w:pPr>
              <w:pStyle w:val="10"/>
              <w:pageBreakBefore w:val="0"/>
              <w:widowControl w:val="0"/>
              <w:kinsoku/>
              <w:wordWrap/>
              <w:overflowPunct/>
              <w:topLinePunct w:val="0"/>
              <w:autoSpaceDE/>
              <w:autoSpaceDN/>
              <w:bidi w:val="0"/>
              <w:adjustRightInd w:val="0"/>
              <w:snapToGrid w:val="0"/>
              <w:spacing w:before="0" w:beforeAutospacing="0" w:after="0" w:afterAutospacing="0" w:line="360" w:lineRule="auto"/>
              <w:ind w:right="0" w:firstLine="0" w:firstLineChars="0"/>
              <w:jc w:val="center"/>
              <w:textAlignment w:val="auto"/>
              <w:rPr>
                <w:rFonts w:hint="eastAsia" w:ascii="宋体" w:hAnsi="宋体" w:eastAsia="宋体" w:cs="宋体"/>
                <w:sz w:val="18"/>
                <w:szCs w:val="18"/>
              </w:rPr>
            </w:pPr>
          </w:p>
        </w:tc>
      </w:tr>
    </w:tbl>
    <w:p w14:paraId="34466819">
      <w:pPr>
        <w:pageBreakBefore w:val="0"/>
        <w:widowControl w:val="0"/>
        <w:numPr>
          <w:ilvl w:val="0"/>
          <w:numId w:val="9"/>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实验流程（工作程序）</w:t>
      </w:r>
    </w:p>
    <w:p w14:paraId="2A132A78">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rPr>
        <w:t>了解实验背景、实验目标</w:t>
      </w:r>
    </w:p>
    <w:p w14:paraId="678C3FF3">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准备论文数据</w:t>
      </w:r>
    </w:p>
    <w:p w14:paraId="7A587987">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打开并登录AI</w:t>
      </w:r>
      <w:r>
        <w:rPr>
          <w:rFonts w:hint="eastAsia" w:ascii="宋体" w:hAnsi="宋体" w:cs="宋体"/>
          <w:sz w:val="21"/>
          <w:szCs w:val="21"/>
          <w:lang w:val="en-US" w:eastAsia="zh-CN"/>
        </w:rPr>
        <w:t>科研</w:t>
      </w:r>
      <w:r>
        <w:rPr>
          <w:rFonts w:hint="eastAsia" w:ascii="宋体" w:hAnsi="宋体" w:eastAsia="宋体" w:cs="宋体"/>
          <w:sz w:val="21"/>
          <w:szCs w:val="21"/>
          <w:lang w:val="en-US" w:eastAsia="zh-CN"/>
        </w:rPr>
        <w:t>平台</w:t>
      </w:r>
    </w:p>
    <w:p w14:paraId="5539B05C">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i w:val="0"/>
          <w:iCs w:val="0"/>
          <w:caps w:val="0"/>
          <w:spacing w:val="0"/>
          <w:sz w:val="21"/>
          <w:szCs w:val="21"/>
          <w:shd w:val="clear" w:fill="FFFFFF"/>
          <w:lang w:val="en-US" w:eastAsia="zh-CN"/>
        </w:rPr>
        <w:t>自动</w:t>
      </w:r>
      <w:r>
        <w:rPr>
          <w:rFonts w:hint="eastAsia" w:ascii="宋体" w:hAnsi="宋体" w:eastAsia="宋体" w:cs="宋体"/>
          <w:i w:val="0"/>
          <w:iCs w:val="0"/>
          <w:caps w:val="0"/>
          <w:spacing w:val="0"/>
          <w:sz w:val="21"/>
          <w:szCs w:val="21"/>
          <w:shd w:val="clear" w:fill="FFFFFF"/>
        </w:rPr>
        <w:t>识别研究的核心解释变量可能面临的内生性来源（如反向因果、遗漏变量、测量误差）</w:t>
      </w:r>
    </w:p>
    <w:p w14:paraId="65F6D390">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kern w:val="2"/>
          <w:sz w:val="21"/>
          <w:szCs w:val="21"/>
          <w:lang w:val="en-US" w:eastAsia="zh-CN" w:bidi="ar-SA"/>
        </w:rPr>
        <w:t>基于研究主题，建议具有理论或政策意义的异质性分组维度（如产权性质、区域发展水平、行业技术密集度、企业生命</w:t>
      </w:r>
      <w:r>
        <w:rPr>
          <w:rFonts w:hint="eastAsia" w:ascii="宋体" w:hAnsi="宋体" w:eastAsia="宋体" w:cs="宋体"/>
          <w:i w:val="0"/>
          <w:iCs w:val="0"/>
          <w:caps w:val="0"/>
          <w:spacing w:val="0"/>
          <w:sz w:val="21"/>
          <w:szCs w:val="21"/>
          <w:shd w:val="clear" w:fill="FFFFFF"/>
        </w:rPr>
        <w:t>周期）</w:t>
      </w:r>
    </w:p>
    <w:p w14:paraId="29EA10B5">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空间计量建模分析（stata），创建空间权重矩阵、空间面板数据回归等</w:t>
      </w:r>
    </w:p>
    <w:p w14:paraId="15AB510F">
      <w:pPr>
        <w:pageBreakBefore w:val="0"/>
        <w:widowControl w:val="0"/>
        <w:numPr>
          <w:ilvl w:val="0"/>
          <w:numId w:val="9"/>
        </w:numPr>
        <w:kinsoku/>
        <w:wordWrap/>
        <w:overflowPunct/>
        <w:topLinePunct w:val="0"/>
        <w:autoSpaceDE/>
        <w:autoSpaceDN/>
        <w:bidi w:val="0"/>
        <w:adjustRightInd w:val="0"/>
        <w:snapToGrid w:val="0"/>
        <w:spacing w:beforeAutospacing="0" w:afterAutospacing="0" w:line="360" w:lineRule="auto"/>
        <w:ind w:right="0" w:firstLine="422"/>
        <w:textAlignment w:val="auto"/>
        <w:rPr>
          <w:rFonts w:hint="eastAsia" w:ascii="宋体" w:hAnsi="宋体" w:eastAsia="宋体" w:cs="宋体"/>
          <w:b/>
          <w:sz w:val="21"/>
          <w:szCs w:val="21"/>
        </w:rPr>
      </w:pPr>
      <w:r>
        <w:rPr>
          <w:rFonts w:hint="eastAsia" w:ascii="宋体" w:hAnsi="宋体" w:eastAsia="宋体" w:cs="宋体"/>
          <w:b/>
          <w:sz w:val="21"/>
          <w:szCs w:val="21"/>
        </w:rPr>
        <w:t>实验成果</w:t>
      </w:r>
    </w:p>
    <w:p w14:paraId="1800A78B">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总结实证分析的过程</w:t>
      </w:r>
    </w:p>
    <w:p w14:paraId="6FB3F478">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总结稳健性检验方法</w:t>
      </w:r>
    </w:p>
    <w:p w14:paraId="23151CEA">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总结主题与数据特征及潜在模型</w:t>
      </w:r>
    </w:p>
    <w:p w14:paraId="76D49127">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val="en-US" w:eastAsia="zh-CN"/>
        </w:rPr>
      </w:pPr>
      <w:r>
        <w:rPr>
          <w:rFonts w:hint="default" w:ascii="Wingdings" w:hAnsi="Wingdings" w:eastAsia="宋体" w:cs="宋体"/>
          <w:kern w:val="2"/>
          <w:sz w:val="21"/>
          <w:szCs w:val="21"/>
          <w:lang w:val="en-US" w:eastAsia="zh-CN" w:bidi="ar-SA"/>
        </w:rPr>
        <w:t></w:t>
      </w:r>
      <w:r>
        <w:rPr>
          <w:rFonts w:hint="eastAsia" w:ascii="宋体" w:hAnsi="宋体" w:eastAsia="宋体" w:cs="宋体"/>
          <w:sz w:val="21"/>
          <w:szCs w:val="21"/>
          <w:lang w:val="en-US" w:eastAsia="zh-CN"/>
        </w:rPr>
        <w:t>完成论文的实证分析</w:t>
      </w:r>
    </w:p>
    <w:p w14:paraId="1C6E160E">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pPr>
      <w:r>
        <w:drawing>
          <wp:inline distT="0" distB="0" distL="114300" distR="114300">
            <wp:extent cx="5272405" cy="2106930"/>
            <wp:effectExtent l="0" t="0" r="635" b="1143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5"/>
                    <a:stretch>
                      <a:fillRect/>
                    </a:stretch>
                  </pic:blipFill>
                  <pic:spPr>
                    <a:xfrm>
                      <a:off x="0" y="0"/>
                      <a:ext cx="5272405" cy="2106930"/>
                    </a:xfrm>
                    <a:prstGeom prst="rect">
                      <a:avLst/>
                    </a:prstGeom>
                    <a:noFill/>
                    <a:ln>
                      <a:noFill/>
                    </a:ln>
                  </pic:spPr>
                </pic:pic>
              </a:graphicData>
            </a:graphic>
          </wp:inline>
        </w:drawing>
      </w:r>
    </w:p>
    <w:p w14:paraId="3DDE6561">
      <w:pPr>
        <w:pageBreakBefore w:val="0"/>
        <w:widowControl w:val="0"/>
        <w:numPr>
          <w:ilvl w:val="0"/>
          <w:numId w:val="0"/>
        </w:numPr>
        <w:tabs>
          <w:tab w:val="left" w:pos="0"/>
          <w:tab w:val="left" w:pos="846"/>
        </w:tabs>
        <w:kinsoku/>
        <w:wordWrap/>
        <w:overflowPunct/>
        <w:topLinePunct w:val="0"/>
        <w:autoSpaceDE/>
        <w:autoSpaceDN/>
        <w:bidi w:val="0"/>
        <w:adjustRightInd w:val="0"/>
        <w:snapToGrid w:val="0"/>
        <w:spacing w:beforeAutospacing="0" w:afterAutospacing="0" w:line="360" w:lineRule="auto"/>
        <w:ind w:left="846" w:leftChars="0" w:right="0" w:rightChars="0" w:hanging="420" w:firstLineChars="0"/>
        <w:textAlignment w:val="auto"/>
        <w:rPr>
          <w:rFonts w:hint="eastAsia" w:ascii="宋体" w:hAnsi="宋体" w:eastAsia="宋体" w:cs="宋体"/>
          <w:sz w:val="21"/>
          <w:szCs w:val="21"/>
          <w:lang w:eastAsia="zh-CN"/>
        </w:rPr>
      </w:pPr>
      <w:r>
        <w:drawing>
          <wp:inline distT="0" distB="0" distL="114300" distR="114300">
            <wp:extent cx="5272405" cy="3119120"/>
            <wp:effectExtent l="0" t="0" r="635" b="508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6"/>
                    <a:srcRect t="40676"/>
                    <a:stretch>
                      <a:fillRect/>
                    </a:stretch>
                  </pic:blipFill>
                  <pic:spPr>
                    <a:xfrm>
                      <a:off x="0" y="0"/>
                      <a:ext cx="5272405" cy="3119120"/>
                    </a:xfrm>
                    <a:prstGeom prst="rect">
                      <a:avLst/>
                    </a:prstGeom>
                    <a:noFill/>
                    <a:ln>
                      <a:noFill/>
                    </a:ln>
                  </pic:spPr>
                </pic:pic>
              </a:graphicData>
            </a:graphic>
          </wp:inline>
        </w:drawing>
      </w:r>
    </w:p>
    <w:p w14:paraId="4FC03634">
      <w:pPr>
        <w:tabs>
          <w:tab w:val="left" w:pos="0"/>
          <w:tab w:val="left" w:pos="846"/>
        </w:tabs>
        <w:adjustRightInd w:val="0"/>
        <w:snapToGrid w:val="0"/>
        <w:ind w:firstLine="0" w:firstLineChars="0"/>
        <w:rPr>
          <w:rFonts w:hint="eastAsia" w:ascii="宋体" w:hAnsi="宋体" w:cs="宋体"/>
        </w:rPr>
      </w:pPr>
    </w:p>
    <w:p w14:paraId="1BEC42CF">
      <w:pPr>
        <w:pStyle w:val="5"/>
        <w:numPr>
          <w:ilvl w:val="0"/>
          <w:numId w:val="3"/>
        </w:numPr>
        <w:bidi w:val="0"/>
        <w:ind w:left="418" w:leftChars="0" w:firstLine="0" w:firstLineChars="0"/>
        <w:rPr>
          <w:rFonts w:hint="eastAsia" w:cs="Times New Roman"/>
          <w:lang w:val="en-US" w:eastAsia="zh-CN"/>
        </w:rPr>
      </w:pPr>
      <w:bookmarkStart w:id="26" w:name="_Toc21664"/>
      <w:bookmarkStart w:id="27" w:name="_Toc31634"/>
      <w:bookmarkStart w:id="28" w:name="_Toc66"/>
      <w:r>
        <w:rPr>
          <w:rFonts w:hint="eastAsia" w:cs="Times New Roman"/>
          <w:lang w:val="en-US" w:eastAsia="zh-CN"/>
        </w:rPr>
        <w:t>AI金融计量教学平台案例简介</w:t>
      </w:r>
      <w:bookmarkEnd w:id="26"/>
      <w:bookmarkEnd w:id="27"/>
      <w:bookmarkEnd w:id="28"/>
    </w:p>
    <w:p w14:paraId="51CBB17A">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29" w:name="_Toc32002"/>
      <w:bookmarkStart w:id="30" w:name="_Toc18820"/>
      <w:r>
        <w:rPr>
          <w:rFonts w:hint="eastAsia" w:ascii="宋体" w:hAnsi="宋体" w:cs="宋体"/>
          <w:sz w:val="21"/>
          <w:szCs w:val="21"/>
        </w:rPr>
        <w:t>双向固定效应模型(管理层宏观经济认知与企业违约风险)</w:t>
      </w:r>
      <w:bookmarkEnd w:id="29"/>
    </w:p>
    <w:p w14:paraId="0E646A98">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3D59F175">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06593C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3E90DDBC">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56975308">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493EBE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287908AC">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464E69D4">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117498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071D838C">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124C3AB3">
            <w:pPr>
              <w:pStyle w:val="10"/>
              <w:adjustRightInd w:val="0"/>
              <w:snapToGrid w:val="0"/>
              <w:ind w:firstLine="0" w:firstLineChars="0"/>
              <w:jc w:val="left"/>
              <w:rPr>
                <w:rFonts w:hAnsi="宋体" w:cs="宋体"/>
                <w:sz w:val="18"/>
                <w:szCs w:val="18"/>
              </w:rPr>
            </w:pPr>
            <w:r>
              <w:rPr>
                <w:rFonts w:hAnsi="宋体" w:cs="宋体"/>
                <w:sz w:val="18"/>
                <w:szCs w:val="18"/>
              </w:rPr>
              <w:t>包含10份实训指导书、10个案例视频、1份数据、1份论文仿写设计报告模板。</w:t>
            </w:r>
          </w:p>
        </w:tc>
      </w:tr>
      <w:tr w14:paraId="79070D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4102BEEC">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2163497D">
            <w:pPr>
              <w:pStyle w:val="10"/>
              <w:adjustRightInd w:val="0"/>
              <w:snapToGrid w:val="0"/>
              <w:ind w:firstLine="0" w:firstLineChars="0"/>
              <w:jc w:val="left"/>
              <w:rPr>
                <w:rFonts w:hAnsi="宋体" w:cs="宋体"/>
                <w:sz w:val="18"/>
                <w:szCs w:val="18"/>
              </w:rPr>
            </w:pPr>
            <w:r>
              <w:rPr>
                <w:rFonts w:hAnsi="宋体" w:cs="宋体"/>
                <w:sz w:val="18"/>
                <w:szCs w:val="18"/>
              </w:rPr>
              <w:t>高效掌握双向固定效应模型建模技巧与论文写作技巧</w:t>
            </w:r>
          </w:p>
        </w:tc>
      </w:tr>
      <w:tr w14:paraId="31E57C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1E9E30E9">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35C717B6">
            <w:pPr>
              <w:pStyle w:val="10"/>
              <w:adjustRightInd w:val="0"/>
              <w:snapToGrid w:val="0"/>
              <w:ind w:firstLine="0" w:firstLineChars="0"/>
              <w:jc w:val="left"/>
              <w:rPr>
                <w:rFonts w:hAnsi="宋体" w:cs="宋体"/>
                <w:sz w:val="18"/>
                <w:szCs w:val="18"/>
              </w:rPr>
            </w:pPr>
            <w:r>
              <w:rPr>
                <w:rFonts w:hAnsi="宋体" w:cs="宋体"/>
                <w:sz w:val="18"/>
                <w:szCs w:val="18"/>
              </w:rPr>
              <w:t>管理层宏观经济认知与企业违约风险</w:t>
            </w:r>
          </w:p>
        </w:tc>
      </w:tr>
    </w:tbl>
    <w:p w14:paraId="4BE17838">
      <w:pPr>
        <w:adjustRightInd w:val="0"/>
        <w:snapToGrid w:val="0"/>
        <w:ind w:firstLine="420"/>
        <w:jc w:val="left"/>
        <w:rPr>
          <w:rFonts w:hint="eastAsia" w:ascii="宋体" w:hAnsi="宋体" w:cs="宋体"/>
          <w:sz w:val="21"/>
          <w:szCs w:val="21"/>
        </w:rPr>
      </w:pPr>
      <w:r>
        <w:rPr>
          <w:rFonts w:hint="eastAsia" w:ascii="宋体" w:hAnsi="宋体" w:cs="宋体"/>
          <w:sz w:val="21"/>
          <w:szCs w:val="21"/>
        </w:rPr>
        <w:t>双向固定效应模型（Two-Way Fixed Effects Model）是一种广泛应用于面板数据分析的计量方法，通过同时控制</w:t>
      </w:r>
      <w:r>
        <w:rPr>
          <w:rFonts w:ascii="宋体" w:hAnsi="宋体" w:cs="宋体"/>
          <w:sz w:val="21"/>
          <w:szCs w:val="21"/>
        </w:rPr>
        <w:t>个体固定效应（如企业、地区、个人）和时间固定效应（如年份、季度），以消除不随时间变化的个体异质性和不随个体变化的宏观时间趋势，从而提高因果推断的准确性。</w:t>
      </w:r>
      <w:r>
        <w:rPr>
          <w:rFonts w:hint="eastAsia" w:ascii="宋体" w:hAnsi="宋体" w:cs="宋体"/>
          <w:sz w:val="21"/>
          <w:szCs w:val="21"/>
        </w:rPr>
        <w:t>可应用于控制不可观测的异质性、因果推断中的混杂因素控制、多期双重差分（DID）的基础框架、动态面板数据建模、异质性效应分析、微观实证研究等</w:t>
      </w:r>
      <w:r>
        <w:rPr>
          <w:rFonts w:ascii="宋体" w:hAnsi="宋体" w:cs="宋体"/>
          <w:sz w:val="21"/>
          <w:szCs w:val="21"/>
        </w:rPr>
        <w:t>应用场景及相关案例</w:t>
      </w:r>
      <w:r>
        <w:rPr>
          <w:rFonts w:hint="eastAsia" w:ascii="宋体" w:hAnsi="宋体" w:cs="宋体"/>
          <w:sz w:val="21"/>
          <w:szCs w:val="21"/>
        </w:rPr>
        <w:t>。</w:t>
      </w:r>
    </w:p>
    <w:p w14:paraId="23CDD429">
      <w:pPr>
        <w:adjustRightInd w:val="0"/>
        <w:snapToGrid w:val="0"/>
        <w:ind w:firstLine="420"/>
        <w:jc w:val="left"/>
      </w:pPr>
      <w:r>
        <w:rPr>
          <w:rFonts w:hint="eastAsia" w:ascii="宋体" w:hAnsi="宋体" w:cs="宋体"/>
          <w:sz w:val="21"/>
          <w:szCs w:val="21"/>
        </w:rPr>
        <w:t>双向固定效应模型的前提条件与注意事项：</w:t>
      </w:r>
    </w:p>
    <w:p w14:paraId="2A50FE3D">
      <w:pPr>
        <w:adjustRightInd w:val="0"/>
        <w:snapToGrid w:val="0"/>
        <w:ind w:firstLine="420"/>
        <w:jc w:val="left"/>
        <w:rPr>
          <w:rFonts w:hint="eastAsia" w:ascii="宋体" w:hAnsi="宋体" w:cs="宋体"/>
          <w:sz w:val="21"/>
          <w:szCs w:val="21"/>
        </w:rPr>
      </w:pPr>
      <w:r>
        <w:rPr>
          <w:rFonts w:hint="eastAsia" w:ascii="宋体" w:hAnsi="宋体" w:cs="宋体"/>
          <w:sz w:val="21"/>
          <w:szCs w:val="21"/>
        </w:rPr>
        <w:t>严格的外生性假设：解释变量需与误差项无关（如不存在反向因果或遗漏变量）。</w:t>
      </w:r>
    </w:p>
    <w:p w14:paraId="00363FBC">
      <w:pPr>
        <w:adjustRightInd w:val="0"/>
        <w:snapToGrid w:val="0"/>
        <w:ind w:firstLine="420"/>
        <w:jc w:val="left"/>
        <w:rPr>
          <w:rFonts w:hint="eastAsia" w:ascii="宋体" w:hAnsi="宋体" w:cs="宋体"/>
          <w:sz w:val="21"/>
          <w:szCs w:val="21"/>
        </w:rPr>
      </w:pPr>
      <w:r>
        <w:rPr>
          <w:rFonts w:hint="eastAsia" w:ascii="宋体" w:hAnsi="宋体" w:cs="宋体"/>
          <w:sz w:val="21"/>
          <w:szCs w:val="21"/>
        </w:rPr>
        <w:t>线性关系假设：模型默认变量间为线性关系，非线性场景需谨慎。</w:t>
      </w:r>
    </w:p>
    <w:p w14:paraId="3C37AD0B">
      <w:pPr>
        <w:adjustRightInd w:val="0"/>
        <w:snapToGrid w:val="0"/>
        <w:ind w:firstLine="420"/>
        <w:jc w:val="left"/>
        <w:rPr>
          <w:rFonts w:hint="eastAsia" w:ascii="宋体" w:hAnsi="宋体" w:cs="宋体"/>
          <w:sz w:val="21"/>
          <w:szCs w:val="21"/>
        </w:rPr>
      </w:pPr>
      <w:r>
        <w:rPr>
          <w:rFonts w:hint="eastAsia" w:ascii="宋体" w:hAnsi="宋体" w:cs="宋体"/>
          <w:sz w:val="21"/>
          <w:szCs w:val="21"/>
        </w:rPr>
        <w:t>固定效应与随机效应选择：若个体/时间效应与解释变量相关，需使用固定效应而非随机效应。</w:t>
      </w:r>
    </w:p>
    <w:p w14:paraId="3EF65D1C">
      <w:pPr>
        <w:adjustRightInd w:val="0"/>
        <w:snapToGrid w:val="0"/>
        <w:ind w:firstLine="420"/>
        <w:jc w:val="left"/>
        <w:rPr>
          <w:rFonts w:hint="eastAsia" w:ascii="宋体" w:hAnsi="宋体" w:cs="宋体"/>
          <w:sz w:val="21"/>
          <w:szCs w:val="21"/>
        </w:rPr>
      </w:pPr>
      <w:r>
        <w:rPr>
          <w:rFonts w:hint="eastAsia" w:ascii="宋体" w:hAnsi="宋体" w:cs="宋体"/>
          <w:sz w:val="21"/>
          <w:szCs w:val="21"/>
        </w:rPr>
        <w:t>样本量要求：需足够多的个体和时间维度，否则可能产生过拟合或共线性问题。</w:t>
      </w:r>
    </w:p>
    <w:p w14:paraId="0C5EC26F">
      <w:pPr>
        <w:adjustRightInd w:val="0"/>
        <w:snapToGrid w:val="0"/>
        <w:ind w:firstLine="420"/>
        <w:jc w:val="left"/>
        <w:rPr>
          <w:rFonts w:hint="eastAsia" w:ascii="宋体" w:hAnsi="宋体" w:cs="宋体"/>
          <w:sz w:val="21"/>
          <w:szCs w:val="21"/>
        </w:rPr>
      </w:pPr>
      <w:r>
        <w:rPr>
          <w:rFonts w:hint="eastAsia" w:ascii="宋体" w:hAnsi="宋体" w:cs="宋体"/>
          <w:sz w:val="21"/>
          <w:szCs w:val="21"/>
        </w:rPr>
        <w:t>双向固定效应模型是面板数据分析的“瑞士军刀”，适用于需要同时剥离个体差异和时间趋势的场景，尤其在以下情况中表现突出：</w:t>
      </w:r>
    </w:p>
    <w:p w14:paraId="2A55C5D6">
      <w:pPr>
        <w:adjustRightInd w:val="0"/>
        <w:snapToGrid w:val="0"/>
        <w:ind w:firstLine="420"/>
        <w:jc w:val="left"/>
        <w:rPr>
          <w:rFonts w:hint="eastAsia" w:ascii="宋体" w:hAnsi="宋体" w:cs="宋体"/>
          <w:sz w:val="21"/>
          <w:szCs w:val="21"/>
        </w:rPr>
      </w:pPr>
      <w:r>
        <w:rPr>
          <w:rFonts w:hint="eastAsia" w:ascii="宋体" w:hAnsi="宋体" w:cs="宋体"/>
          <w:sz w:val="21"/>
          <w:szCs w:val="21"/>
        </w:rPr>
        <w:t>数据存在不可观测的个体/时间异质性；</w:t>
      </w:r>
    </w:p>
    <w:p w14:paraId="37936E58">
      <w:pPr>
        <w:adjustRightInd w:val="0"/>
        <w:snapToGrid w:val="0"/>
        <w:ind w:firstLine="420"/>
        <w:jc w:val="left"/>
        <w:rPr>
          <w:rFonts w:hint="eastAsia" w:ascii="宋体" w:hAnsi="宋体" w:cs="宋体"/>
          <w:sz w:val="21"/>
          <w:szCs w:val="21"/>
        </w:rPr>
      </w:pPr>
      <w:r>
        <w:rPr>
          <w:rFonts w:hint="eastAsia" w:ascii="宋体" w:hAnsi="宋体" w:cs="宋体"/>
          <w:sz w:val="21"/>
          <w:szCs w:val="21"/>
        </w:rPr>
        <w:t>需进行因果推断但无法随机分组（如政策评估、社会科学实证）；</w:t>
      </w:r>
    </w:p>
    <w:p w14:paraId="2DFD0A60">
      <w:pPr>
        <w:adjustRightInd w:val="0"/>
        <w:snapToGrid w:val="0"/>
        <w:ind w:firstLine="420"/>
        <w:jc w:val="left"/>
        <w:rPr>
          <w:rFonts w:hint="eastAsia" w:ascii="宋体" w:hAnsi="宋体" w:cs="宋体"/>
          <w:sz w:val="21"/>
          <w:szCs w:val="21"/>
        </w:rPr>
      </w:pPr>
      <w:r>
        <w:rPr>
          <w:rFonts w:hint="eastAsia" w:ascii="宋体" w:hAnsi="宋体" w:cs="宋体"/>
          <w:sz w:val="21"/>
          <w:szCs w:val="21"/>
        </w:rPr>
        <w:t>研究动态效应或异质性影响。</w:t>
      </w:r>
    </w:p>
    <w:p w14:paraId="6EADFEA9">
      <w:pPr>
        <w:pStyle w:val="2"/>
        <w:ind w:left="0" w:leftChars="0" w:firstLine="0" w:firstLineChars="0"/>
        <w:rPr>
          <w:rFonts w:hint="eastAsia"/>
        </w:rPr>
      </w:pPr>
      <w:r>
        <w:drawing>
          <wp:inline distT="0" distB="0" distL="114300" distR="114300">
            <wp:extent cx="5271135" cy="4176395"/>
            <wp:effectExtent l="0" t="0" r="1206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271135" cy="4176395"/>
                    </a:xfrm>
                    <a:prstGeom prst="rect">
                      <a:avLst/>
                    </a:prstGeom>
                    <a:noFill/>
                    <a:ln>
                      <a:noFill/>
                    </a:ln>
                  </pic:spPr>
                </pic:pic>
              </a:graphicData>
            </a:graphic>
          </wp:inline>
        </w:drawing>
      </w:r>
    </w:p>
    <w:p w14:paraId="5F83C7A2">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5D8E8BFC">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表2</w:t>
      </w:r>
      <w:r>
        <w:rPr>
          <w:rFonts w:hint="eastAsia" w:ascii="宋体" w:hAnsi="宋体" w:cs="宋体"/>
          <w:sz w:val="18"/>
          <w:szCs w:val="18"/>
          <w:lang w:val="en-US" w:eastAsia="zh-CN" w:bidi="ar"/>
        </w:rPr>
        <w:t>-2</w:t>
      </w:r>
      <w:r>
        <w:rPr>
          <w:rFonts w:hint="eastAsia" w:ascii="宋体" w:hAnsi="宋体" w:cs="宋体"/>
          <w:sz w:val="18"/>
          <w:szCs w:val="18"/>
          <w:lang w:bidi="ar"/>
        </w:rPr>
        <w:t xml:space="preserve"> 双向固定效应模型（管理层宏观经济认知与企业违约风险）</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18C44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409D1F3C">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66C40EB8">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0A75A574">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5E59093D">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6FDB5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3D1FDF1A">
            <w:pPr>
              <w:pStyle w:val="10"/>
              <w:adjustRightInd w:val="0"/>
              <w:snapToGrid w:val="0"/>
              <w:ind w:firstLine="0" w:firstLineChars="0"/>
              <w:jc w:val="center"/>
              <w:rPr>
                <w:rFonts w:hAnsi="宋体" w:cs="宋体"/>
                <w:sz w:val="18"/>
                <w:szCs w:val="18"/>
              </w:rPr>
            </w:pPr>
          </w:p>
          <w:p w14:paraId="0ABEC3C9">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双向固定效应模型（管理层宏观经济认知与企业违约风险）</w:t>
            </w:r>
          </w:p>
          <w:p w14:paraId="5369B99B">
            <w:pPr>
              <w:pStyle w:val="10"/>
              <w:adjustRightInd w:val="0"/>
              <w:snapToGrid w:val="0"/>
              <w:ind w:firstLine="0" w:firstLineChars="0"/>
              <w:jc w:val="center"/>
              <w:rPr>
                <w:rFonts w:hAnsi="宋体" w:cs="宋体"/>
                <w:sz w:val="18"/>
                <w:szCs w:val="18"/>
              </w:rPr>
            </w:pPr>
          </w:p>
          <w:p w14:paraId="1A024302">
            <w:pPr>
              <w:pStyle w:val="10"/>
              <w:adjustRightInd w:val="0"/>
              <w:snapToGrid w:val="0"/>
              <w:ind w:firstLine="0" w:firstLineChars="0"/>
              <w:jc w:val="center"/>
              <w:rPr>
                <w:rFonts w:hAnsi="宋体" w:cs="宋体"/>
                <w:sz w:val="18"/>
                <w:szCs w:val="18"/>
              </w:rPr>
            </w:pPr>
          </w:p>
        </w:tc>
        <w:tc>
          <w:tcPr>
            <w:tcW w:w="1240" w:type="dxa"/>
            <w:vMerge w:val="restart"/>
            <w:vAlign w:val="center"/>
          </w:tcPr>
          <w:p w14:paraId="63D15314">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706D1EAC">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253EA8B8">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4ECA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C49E699">
            <w:pPr>
              <w:pStyle w:val="10"/>
              <w:adjustRightInd w:val="0"/>
              <w:snapToGrid w:val="0"/>
              <w:ind w:firstLine="0" w:firstLineChars="0"/>
              <w:jc w:val="center"/>
              <w:rPr>
                <w:rFonts w:hAnsi="宋体" w:cs="宋体"/>
                <w:sz w:val="18"/>
                <w:szCs w:val="18"/>
              </w:rPr>
            </w:pPr>
          </w:p>
        </w:tc>
        <w:tc>
          <w:tcPr>
            <w:tcW w:w="1240" w:type="dxa"/>
            <w:vMerge w:val="continue"/>
            <w:vAlign w:val="center"/>
          </w:tcPr>
          <w:p w14:paraId="4A205439">
            <w:pPr>
              <w:pStyle w:val="10"/>
              <w:adjustRightInd w:val="0"/>
              <w:snapToGrid w:val="0"/>
              <w:ind w:firstLine="0" w:firstLineChars="0"/>
              <w:rPr>
                <w:rFonts w:hAnsi="宋体" w:cs="宋体"/>
                <w:spacing w:val="10"/>
                <w:sz w:val="18"/>
                <w:szCs w:val="18"/>
              </w:rPr>
            </w:pPr>
          </w:p>
        </w:tc>
        <w:tc>
          <w:tcPr>
            <w:tcW w:w="5058" w:type="dxa"/>
            <w:vAlign w:val="center"/>
          </w:tcPr>
          <w:p w14:paraId="554BE3F9">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5B75BC6B">
            <w:pPr>
              <w:pStyle w:val="10"/>
              <w:adjustRightInd w:val="0"/>
              <w:snapToGrid w:val="0"/>
              <w:ind w:firstLine="0" w:firstLineChars="0"/>
              <w:jc w:val="center"/>
              <w:rPr>
                <w:rFonts w:hAnsi="宋体" w:cs="宋体"/>
                <w:spacing w:val="10"/>
                <w:sz w:val="18"/>
                <w:szCs w:val="18"/>
              </w:rPr>
            </w:pPr>
          </w:p>
        </w:tc>
      </w:tr>
      <w:tr w14:paraId="15314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08B09F7">
            <w:pPr>
              <w:pStyle w:val="10"/>
              <w:adjustRightInd w:val="0"/>
              <w:snapToGrid w:val="0"/>
              <w:ind w:firstLine="0" w:firstLineChars="0"/>
              <w:jc w:val="center"/>
              <w:rPr>
                <w:rFonts w:hAnsi="宋体" w:cs="宋体"/>
                <w:sz w:val="18"/>
                <w:szCs w:val="18"/>
              </w:rPr>
            </w:pPr>
          </w:p>
        </w:tc>
        <w:tc>
          <w:tcPr>
            <w:tcW w:w="1240" w:type="dxa"/>
            <w:vMerge w:val="continue"/>
            <w:vAlign w:val="center"/>
          </w:tcPr>
          <w:p w14:paraId="310A2B7D">
            <w:pPr>
              <w:pStyle w:val="10"/>
              <w:adjustRightInd w:val="0"/>
              <w:snapToGrid w:val="0"/>
              <w:ind w:firstLine="0" w:firstLineChars="0"/>
              <w:rPr>
                <w:rFonts w:hAnsi="宋体" w:cs="宋体"/>
                <w:spacing w:val="10"/>
                <w:sz w:val="18"/>
                <w:szCs w:val="18"/>
              </w:rPr>
            </w:pPr>
          </w:p>
        </w:tc>
        <w:tc>
          <w:tcPr>
            <w:tcW w:w="5058" w:type="dxa"/>
            <w:vAlign w:val="center"/>
          </w:tcPr>
          <w:p w14:paraId="6E331D52">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39F8B47F">
            <w:pPr>
              <w:pStyle w:val="10"/>
              <w:adjustRightInd w:val="0"/>
              <w:snapToGrid w:val="0"/>
              <w:ind w:firstLine="0" w:firstLineChars="0"/>
              <w:jc w:val="center"/>
              <w:rPr>
                <w:rFonts w:hAnsi="宋体" w:cs="宋体"/>
                <w:spacing w:val="10"/>
                <w:sz w:val="18"/>
                <w:szCs w:val="18"/>
              </w:rPr>
            </w:pPr>
          </w:p>
        </w:tc>
      </w:tr>
      <w:tr w14:paraId="58868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D8762CE">
            <w:pPr>
              <w:pStyle w:val="10"/>
              <w:adjustRightInd w:val="0"/>
              <w:snapToGrid w:val="0"/>
              <w:ind w:firstLine="0" w:firstLineChars="0"/>
              <w:jc w:val="center"/>
              <w:rPr>
                <w:rFonts w:hAnsi="宋体" w:cs="宋体"/>
                <w:sz w:val="18"/>
                <w:szCs w:val="18"/>
              </w:rPr>
            </w:pPr>
          </w:p>
        </w:tc>
        <w:tc>
          <w:tcPr>
            <w:tcW w:w="1240" w:type="dxa"/>
            <w:vMerge w:val="restart"/>
            <w:vAlign w:val="center"/>
          </w:tcPr>
          <w:p w14:paraId="6DE64808">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36665AE2">
            <w:pPr>
              <w:pStyle w:val="10"/>
              <w:adjustRightInd w:val="0"/>
              <w:snapToGrid w:val="0"/>
              <w:ind w:firstLine="0" w:firstLineChars="0"/>
              <w:rPr>
                <w:rFonts w:hAnsi="宋体" w:cs="宋体"/>
                <w:sz w:val="18"/>
                <w:szCs w:val="18"/>
              </w:rPr>
            </w:pPr>
            <w:r>
              <w:rPr>
                <w:rFonts w:hAnsi="宋体" w:cs="宋体"/>
                <w:sz w:val="18"/>
                <w:szCs w:val="18"/>
              </w:rPr>
              <w:t>研究设计</w:t>
            </w:r>
          </w:p>
        </w:tc>
        <w:tc>
          <w:tcPr>
            <w:tcW w:w="1356" w:type="dxa"/>
            <w:vMerge w:val="continue"/>
            <w:vAlign w:val="center"/>
          </w:tcPr>
          <w:p w14:paraId="0FB9733C">
            <w:pPr>
              <w:pStyle w:val="10"/>
              <w:adjustRightInd w:val="0"/>
              <w:snapToGrid w:val="0"/>
              <w:ind w:firstLine="0" w:firstLineChars="0"/>
              <w:jc w:val="center"/>
              <w:rPr>
                <w:rFonts w:hAnsi="宋体" w:cs="宋体"/>
                <w:sz w:val="18"/>
                <w:szCs w:val="18"/>
              </w:rPr>
            </w:pPr>
          </w:p>
        </w:tc>
      </w:tr>
      <w:tr w14:paraId="0F444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B89F28A">
            <w:pPr>
              <w:pStyle w:val="10"/>
              <w:adjustRightInd w:val="0"/>
              <w:snapToGrid w:val="0"/>
              <w:ind w:firstLine="0" w:firstLineChars="0"/>
              <w:jc w:val="center"/>
              <w:rPr>
                <w:rFonts w:hAnsi="宋体" w:cs="宋体"/>
                <w:sz w:val="18"/>
                <w:szCs w:val="18"/>
              </w:rPr>
            </w:pPr>
          </w:p>
        </w:tc>
        <w:tc>
          <w:tcPr>
            <w:tcW w:w="1240" w:type="dxa"/>
            <w:vMerge w:val="continue"/>
            <w:vAlign w:val="center"/>
          </w:tcPr>
          <w:p w14:paraId="362A6E73">
            <w:pPr>
              <w:pStyle w:val="10"/>
              <w:adjustRightInd w:val="0"/>
              <w:snapToGrid w:val="0"/>
              <w:ind w:firstLine="0" w:firstLineChars="0"/>
              <w:rPr>
                <w:rFonts w:hAnsi="宋体" w:cs="宋体"/>
                <w:sz w:val="18"/>
                <w:szCs w:val="18"/>
              </w:rPr>
            </w:pPr>
          </w:p>
        </w:tc>
        <w:tc>
          <w:tcPr>
            <w:tcW w:w="5058" w:type="dxa"/>
            <w:vAlign w:val="center"/>
          </w:tcPr>
          <w:p w14:paraId="14DC1536">
            <w:pPr>
              <w:pStyle w:val="10"/>
              <w:adjustRightInd w:val="0"/>
              <w:snapToGrid w:val="0"/>
              <w:ind w:firstLine="0" w:firstLineChars="0"/>
              <w:rPr>
                <w:rFonts w:hAnsi="宋体" w:cs="宋体"/>
                <w:sz w:val="18"/>
                <w:szCs w:val="18"/>
              </w:rPr>
            </w:pPr>
            <w:r>
              <w:rPr>
                <w:rFonts w:hAnsi="宋体" w:cs="宋体"/>
                <w:sz w:val="18"/>
                <w:szCs w:val="18"/>
              </w:rPr>
              <w:t>对管理层宏观经济认知、产权性质与企业违约风险—实证与解读</w:t>
            </w:r>
          </w:p>
        </w:tc>
        <w:tc>
          <w:tcPr>
            <w:tcW w:w="1356" w:type="dxa"/>
            <w:vMerge w:val="continue"/>
            <w:vAlign w:val="center"/>
          </w:tcPr>
          <w:p w14:paraId="5A266D84">
            <w:pPr>
              <w:pStyle w:val="10"/>
              <w:adjustRightInd w:val="0"/>
              <w:snapToGrid w:val="0"/>
              <w:ind w:firstLine="0" w:firstLineChars="0"/>
              <w:jc w:val="center"/>
              <w:rPr>
                <w:rFonts w:hAnsi="宋体" w:cs="宋体"/>
                <w:sz w:val="18"/>
                <w:szCs w:val="18"/>
              </w:rPr>
            </w:pPr>
          </w:p>
        </w:tc>
      </w:tr>
      <w:tr w14:paraId="1C695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8EEFFA4">
            <w:pPr>
              <w:pStyle w:val="10"/>
              <w:adjustRightInd w:val="0"/>
              <w:snapToGrid w:val="0"/>
              <w:ind w:firstLine="0" w:firstLineChars="0"/>
              <w:jc w:val="center"/>
              <w:rPr>
                <w:rFonts w:hAnsi="宋体" w:cs="宋体"/>
                <w:sz w:val="18"/>
                <w:szCs w:val="18"/>
              </w:rPr>
            </w:pPr>
          </w:p>
        </w:tc>
        <w:tc>
          <w:tcPr>
            <w:tcW w:w="1240" w:type="dxa"/>
            <w:vMerge w:val="continue"/>
            <w:vAlign w:val="center"/>
          </w:tcPr>
          <w:p w14:paraId="13D20BED">
            <w:pPr>
              <w:pStyle w:val="10"/>
              <w:adjustRightInd w:val="0"/>
              <w:snapToGrid w:val="0"/>
              <w:ind w:firstLine="0" w:firstLineChars="0"/>
              <w:rPr>
                <w:rFonts w:hAnsi="宋体" w:cs="宋体"/>
                <w:sz w:val="18"/>
                <w:szCs w:val="18"/>
              </w:rPr>
            </w:pPr>
          </w:p>
        </w:tc>
        <w:tc>
          <w:tcPr>
            <w:tcW w:w="5058" w:type="dxa"/>
            <w:vAlign w:val="center"/>
          </w:tcPr>
          <w:p w14:paraId="7C20324D">
            <w:pPr>
              <w:pStyle w:val="10"/>
              <w:adjustRightInd w:val="0"/>
              <w:snapToGrid w:val="0"/>
              <w:ind w:firstLine="0" w:firstLineChars="0"/>
              <w:rPr>
                <w:rFonts w:hAnsi="宋体" w:cs="宋体"/>
                <w:sz w:val="18"/>
                <w:szCs w:val="18"/>
              </w:rPr>
            </w:pPr>
            <w:r>
              <w:rPr>
                <w:rFonts w:hAnsi="宋体" w:cs="宋体"/>
                <w:sz w:val="18"/>
                <w:szCs w:val="18"/>
                <w:lang w:bidi="ar"/>
              </w:rPr>
              <w:t>内生性处理一：工具变量法</w:t>
            </w:r>
          </w:p>
        </w:tc>
        <w:tc>
          <w:tcPr>
            <w:tcW w:w="1356" w:type="dxa"/>
            <w:vMerge w:val="continue"/>
            <w:vAlign w:val="center"/>
          </w:tcPr>
          <w:p w14:paraId="7A369E71">
            <w:pPr>
              <w:pStyle w:val="10"/>
              <w:adjustRightInd w:val="0"/>
              <w:snapToGrid w:val="0"/>
              <w:ind w:firstLine="0" w:firstLineChars="0"/>
              <w:jc w:val="center"/>
              <w:rPr>
                <w:rFonts w:hAnsi="宋体" w:cs="宋体"/>
                <w:sz w:val="18"/>
                <w:szCs w:val="18"/>
              </w:rPr>
            </w:pPr>
          </w:p>
        </w:tc>
      </w:tr>
      <w:tr w14:paraId="66759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09F28DD">
            <w:pPr>
              <w:pStyle w:val="10"/>
              <w:adjustRightInd w:val="0"/>
              <w:snapToGrid w:val="0"/>
              <w:ind w:firstLine="0" w:firstLineChars="0"/>
              <w:jc w:val="center"/>
              <w:rPr>
                <w:rFonts w:hAnsi="宋体" w:cs="宋体"/>
                <w:sz w:val="18"/>
                <w:szCs w:val="18"/>
              </w:rPr>
            </w:pPr>
          </w:p>
        </w:tc>
        <w:tc>
          <w:tcPr>
            <w:tcW w:w="1240" w:type="dxa"/>
            <w:vMerge w:val="continue"/>
            <w:vAlign w:val="center"/>
          </w:tcPr>
          <w:p w14:paraId="44EF5770">
            <w:pPr>
              <w:pStyle w:val="10"/>
              <w:adjustRightInd w:val="0"/>
              <w:snapToGrid w:val="0"/>
              <w:ind w:firstLine="0" w:firstLineChars="0"/>
              <w:rPr>
                <w:rFonts w:hAnsi="宋体" w:cs="宋体"/>
                <w:sz w:val="18"/>
                <w:szCs w:val="18"/>
              </w:rPr>
            </w:pPr>
          </w:p>
        </w:tc>
        <w:tc>
          <w:tcPr>
            <w:tcW w:w="5058" w:type="dxa"/>
            <w:vAlign w:val="center"/>
          </w:tcPr>
          <w:p w14:paraId="2CFA4386">
            <w:pPr>
              <w:pStyle w:val="10"/>
              <w:adjustRightInd w:val="0"/>
              <w:snapToGrid w:val="0"/>
              <w:ind w:firstLine="0" w:firstLineChars="0"/>
              <w:rPr>
                <w:rFonts w:hAnsi="宋体" w:cs="宋体"/>
                <w:sz w:val="18"/>
                <w:szCs w:val="18"/>
              </w:rPr>
            </w:pPr>
            <w:r>
              <w:rPr>
                <w:rFonts w:hAnsi="宋体" w:cs="宋体"/>
                <w:sz w:val="18"/>
                <w:szCs w:val="18"/>
              </w:rPr>
              <w:t>内生性处理二：倾向得分匹配检验</w:t>
            </w:r>
          </w:p>
        </w:tc>
        <w:tc>
          <w:tcPr>
            <w:tcW w:w="1356" w:type="dxa"/>
            <w:vMerge w:val="continue"/>
            <w:vAlign w:val="center"/>
          </w:tcPr>
          <w:p w14:paraId="17FD2B5F">
            <w:pPr>
              <w:pStyle w:val="10"/>
              <w:adjustRightInd w:val="0"/>
              <w:snapToGrid w:val="0"/>
              <w:ind w:firstLine="0" w:firstLineChars="0"/>
              <w:jc w:val="center"/>
              <w:rPr>
                <w:rFonts w:hAnsi="宋体" w:cs="宋体"/>
                <w:sz w:val="18"/>
                <w:szCs w:val="18"/>
              </w:rPr>
            </w:pPr>
          </w:p>
        </w:tc>
      </w:tr>
      <w:tr w14:paraId="1AD9E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93FF775">
            <w:pPr>
              <w:pStyle w:val="10"/>
              <w:adjustRightInd w:val="0"/>
              <w:snapToGrid w:val="0"/>
              <w:ind w:firstLine="0" w:firstLineChars="0"/>
              <w:jc w:val="center"/>
              <w:rPr>
                <w:rFonts w:hAnsi="宋体" w:cs="宋体"/>
                <w:sz w:val="18"/>
                <w:szCs w:val="18"/>
              </w:rPr>
            </w:pPr>
          </w:p>
        </w:tc>
        <w:tc>
          <w:tcPr>
            <w:tcW w:w="1240" w:type="dxa"/>
            <w:vMerge w:val="continue"/>
            <w:vAlign w:val="center"/>
          </w:tcPr>
          <w:p w14:paraId="3605286F">
            <w:pPr>
              <w:pStyle w:val="10"/>
              <w:adjustRightInd w:val="0"/>
              <w:snapToGrid w:val="0"/>
              <w:ind w:firstLine="0" w:firstLineChars="0"/>
              <w:rPr>
                <w:rFonts w:hAnsi="宋体" w:cs="宋体"/>
                <w:sz w:val="18"/>
                <w:szCs w:val="18"/>
              </w:rPr>
            </w:pPr>
          </w:p>
        </w:tc>
        <w:tc>
          <w:tcPr>
            <w:tcW w:w="5058" w:type="dxa"/>
            <w:vAlign w:val="center"/>
          </w:tcPr>
          <w:p w14:paraId="7EECF77F">
            <w:pPr>
              <w:pStyle w:val="10"/>
              <w:adjustRightInd w:val="0"/>
              <w:snapToGrid w:val="0"/>
              <w:ind w:firstLine="0" w:firstLineChars="0"/>
              <w:rPr>
                <w:rFonts w:hAnsi="宋体" w:cs="宋体"/>
                <w:sz w:val="18"/>
                <w:szCs w:val="18"/>
              </w:rPr>
            </w:pPr>
            <w:r>
              <w:rPr>
                <w:rFonts w:hAnsi="宋体" w:cs="宋体"/>
                <w:sz w:val="18"/>
                <w:szCs w:val="18"/>
              </w:rPr>
              <w:t>替换被解释变量，会否影响回归结果</w:t>
            </w:r>
          </w:p>
        </w:tc>
        <w:tc>
          <w:tcPr>
            <w:tcW w:w="1356" w:type="dxa"/>
            <w:vMerge w:val="continue"/>
            <w:vAlign w:val="center"/>
          </w:tcPr>
          <w:p w14:paraId="63DFC6C9">
            <w:pPr>
              <w:pStyle w:val="10"/>
              <w:adjustRightInd w:val="0"/>
              <w:snapToGrid w:val="0"/>
              <w:ind w:firstLine="0" w:firstLineChars="0"/>
              <w:jc w:val="center"/>
              <w:rPr>
                <w:rFonts w:hAnsi="宋体" w:cs="宋体"/>
                <w:sz w:val="18"/>
                <w:szCs w:val="18"/>
              </w:rPr>
            </w:pPr>
          </w:p>
        </w:tc>
      </w:tr>
      <w:tr w14:paraId="71B79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54F0E06">
            <w:pPr>
              <w:pStyle w:val="10"/>
              <w:adjustRightInd w:val="0"/>
              <w:snapToGrid w:val="0"/>
              <w:ind w:firstLine="0" w:firstLineChars="0"/>
              <w:jc w:val="center"/>
              <w:rPr>
                <w:rFonts w:hAnsi="宋体" w:cs="宋体"/>
                <w:sz w:val="18"/>
                <w:szCs w:val="18"/>
              </w:rPr>
            </w:pPr>
          </w:p>
        </w:tc>
        <w:tc>
          <w:tcPr>
            <w:tcW w:w="1240" w:type="dxa"/>
            <w:vMerge w:val="continue"/>
            <w:vAlign w:val="center"/>
          </w:tcPr>
          <w:p w14:paraId="34D9D785">
            <w:pPr>
              <w:pStyle w:val="10"/>
              <w:adjustRightInd w:val="0"/>
              <w:snapToGrid w:val="0"/>
              <w:ind w:firstLine="0" w:firstLineChars="0"/>
              <w:rPr>
                <w:rFonts w:hAnsi="宋体" w:cs="宋体"/>
                <w:sz w:val="18"/>
                <w:szCs w:val="18"/>
              </w:rPr>
            </w:pPr>
          </w:p>
        </w:tc>
        <w:tc>
          <w:tcPr>
            <w:tcW w:w="5058" w:type="dxa"/>
            <w:vAlign w:val="center"/>
          </w:tcPr>
          <w:p w14:paraId="242DCCE7">
            <w:pPr>
              <w:pStyle w:val="10"/>
              <w:adjustRightInd w:val="0"/>
              <w:snapToGrid w:val="0"/>
              <w:ind w:firstLine="0" w:firstLineChars="0"/>
              <w:rPr>
                <w:rFonts w:hAnsi="宋体" w:cs="宋体"/>
                <w:sz w:val="18"/>
                <w:szCs w:val="18"/>
              </w:rPr>
            </w:pPr>
            <w:r>
              <w:rPr>
                <w:rFonts w:hAnsi="宋体" w:cs="宋体"/>
                <w:sz w:val="18"/>
                <w:szCs w:val="18"/>
              </w:rPr>
              <w:t>回归方法替换为Tobit模型，会否影响回归结果</w:t>
            </w:r>
          </w:p>
        </w:tc>
        <w:tc>
          <w:tcPr>
            <w:tcW w:w="1356" w:type="dxa"/>
            <w:vMerge w:val="continue"/>
            <w:vAlign w:val="center"/>
          </w:tcPr>
          <w:p w14:paraId="0C1A8D9E">
            <w:pPr>
              <w:pStyle w:val="10"/>
              <w:adjustRightInd w:val="0"/>
              <w:snapToGrid w:val="0"/>
              <w:ind w:firstLine="0" w:firstLineChars="0"/>
              <w:jc w:val="center"/>
              <w:rPr>
                <w:rFonts w:hAnsi="宋体" w:cs="宋体"/>
                <w:sz w:val="18"/>
                <w:szCs w:val="18"/>
              </w:rPr>
            </w:pPr>
          </w:p>
        </w:tc>
      </w:tr>
      <w:tr w14:paraId="64E9D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AF8DF29">
            <w:pPr>
              <w:pStyle w:val="10"/>
              <w:adjustRightInd w:val="0"/>
              <w:snapToGrid w:val="0"/>
              <w:ind w:firstLine="0" w:firstLineChars="0"/>
              <w:jc w:val="center"/>
              <w:rPr>
                <w:rFonts w:hAnsi="宋体" w:cs="宋体"/>
                <w:sz w:val="18"/>
                <w:szCs w:val="18"/>
              </w:rPr>
            </w:pPr>
          </w:p>
        </w:tc>
        <w:tc>
          <w:tcPr>
            <w:tcW w:w="1240" w:type="dxa"/>
            <w:vMerge w:val="continue"/>
            <w:vAlign w:val="center"/>
          </w:tcPr>
          <w:p w14:paraId="2895FDD7">
            <w:pPr>
              <w:pStyle w:val="10"/>
              <w:adjustRightInd w:val="0"/>
              <w:snapToGrid w:val="0"/>
              <w:ind w:firstLine="0" w:firstLineChars="0"/>
              <w:rPr>
                <w:rFonts w:hAnsi="宋体" w:cs="宋体"/>
                <w:sz w:val="18"/>
                <w:szCs w:val="18"/>
              </w:rPr>
            </w:pPr>
          </w:p>
        </w:tc>
        <w:tc>
          <w:tcPr>
            <w:tcW w:w="5058" w:type="dxa"/>
            <w:vAlign w:val="center"/>
          </w:tcPr>
          <w:p w14:paraId="1D37E1B2">
            <w:pPr>
              <w:pStyle w:val="10"/>
              <w:adjustRightInd w:val="0"/>
              <w:snapToGrid w:val="0"/>
              <w:ind w:firstLine="0" w:firstLineChars="0"/>
              <w:rPr>
                <w:rFonts w:hAnsi="宋体" w:cs="宋体"/>
                <w:sz w:val="18"/>
                <w:szCs w:val="18"/>
              </w:rPr>
            </w:pPr>
            <w:r>
              <w:rPr>
                <w:rFonts w:hAnsi="宋体" w:cs="宋体"/>
                <w:sz w:val="18"/>
                <w:szCs w:val="18"/>
              </w:rPr>
              <w:t>所有控制变量滞后一期，会否影响回归结果</w:t>
            </w:r>
          </w:p>
        </w:tc>
        <w:tc>
          <w:tcPr>
            <w:tcW w:w="1356" w:type="dxa"/>
            <w:vMerge w:val="continue"/>
            <w:vAlign w:val="center"/>
          </w:tcPr>
          <w:p w14:paraId="03DA332C">
            <w:pPr>
              <w:pStyle w:val="10"/>
              <w:adjustRightInd w:val="0"/>
              <w:snapToGrid w:val="0"/>
              <w:ind w:firstLine="0" w:firstLineChars="0"/>
              <w:jc w:val="center"/>
              <w:rPr>
                <w:rFonts w:hAnsi="宋体" w:cs="宋体"/>
                <w:sz w:val="18"/>
                <w:szCs w:val="18"/>
              </w:rPr>
            </w:pPr>
          </w:p>
        </w:tc>
      </w:tr>
      <w:tr w14:paraId="4DE2A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A529DFE">
            <w:pPr>
              <w:pStyle w:val="10"/>
              <w:adjustRightInd w:val="0"/>
              <w:snapToGrid w:val="0"/>
              <w:ind w:firstLine="0" w:firstLineChars="0"/>
              <w:jc w:val="center"/>
              <w:rPr>
                <w:rFonts w:hAnsi="宋体" w:cs="宋体"/>
                <w:sz w:val="18"/>
                <w:szCs w:val="18"/>
              </w:rPr>
            </w:pPr>
          </w:p>
        </w:tc>
        <w:tc>
          <w:tcPr>
            <w:tcW w:w="1240" w:type="dxa"/>
            <w:vMerge w:val="continue"/>
            <w:vAlign w:val="center"/>
          </w:tcPr>
          <w:p w14:paraId="4E8408EB">
            <w:pPr>
              <w:pStyle w:val="10"/>
              <w:adjustRightInd w:val="0"/>
              <w:snapToGrid w:val="0"/>
              <w:ind w:firstLine="0" w:firstLineChars="0"/>
              <w:rPr>
                <w:rFonts w:hAnsi="宋体" w:cs="宋体"/>
                <w:sz w:val="18"/>
                <w:szCs w:val="18"/>
              </w:rPr>
            </w:pPr>
          </w:p>
        </w:tc>
        <w:tc>
          <w:tcPr>
            <w:tcW w:w="5058" w:type="dxa"/>
            <w:vAlign w:val="center"/>
          </w:tcPr>
          <w:p w14:paraId="3A56EBB9">
            <w:pPr>
              <w:pStyle w:val="10"/>
              <w:adjustRightInd w:val="0"/>
              <w:snapToGrid w:val="0"/>
              <w:ind w:firstLine="0" w:firstLineChars="0"/>
              <w:rPr>
                <w:rFonts w:hAnsi="宋体" w:cs="宋体"/>
                <w:sz w:val="18"/>
                <w:szCs w:val="18"/>
              </w:rPr>
            </w:pPr>
            <w:r>
              <w:rPr>
                <w:rFonts w:hAnsi="宋体" w:cs="宋体"/>
                <w:sz w:val="18"/>
                <w:szCs w:val="18"/>
              </w:rPr>
              <w:t>作用渠道检验（即作用机制：中介效应）</w:t>
            </w:r>
          </w:p>
        </w:tc>
        <w:tc>
          <w:tcPr>
            <w:tcW w:w="1356" w:type="dxa"/>
            <w:vMerge w:val="continue"/>
            <w:vAlign w:val="center"/>
          </w:tcPr>
          <w:p w14:paraId="339DF592">
            <w:pPr>
              <w:pStyle w:val="10"/>
              <w:adjustRightInd w:val="0"/>
              <w:snapToGrid w:val="0"/>
              <w:ind w:firstLine="0" w:firstLineChars="0"/>
              <w:jc w:val="center"/>
              <w:rPr>
                <w:rFonts w:hAnsi="宋体" w:cs="宋体"/>
                <w:sz w:val="18"/>
                <w:szCs w:val="18"/>
              </w:rPr>
            </w:pPr>
          </w:p>
        </w:tc>
      </w:tr>
      <w:tr w14:paraId="73F4B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A6BE529">
            <w:pPr>
              <w:pStyle w:val="10"/>
              <w:adjustRightInd w:val="0"/>
              <w:snapToGrid w:val="0"/>
              <w:ind w:firstLine="0" w:firstLineChars="0"/>
              <w:jc w:val="center"/>
              <w:rPr>
                <w:rFonts w:hAnsi="宋体" w:cs="宋体"/>
                <w:sz w:val="18"/>
                <w:szCs w:val="18"/>
              </w:rPr>
            </w:pPr>
          </w:p>
        </w:tc>
        <w:tc>
          <w:tcPr>
            <w:tcW w:w="1240" w:type="dxa"/>
            <w:vMerge w:val="continue"/>
            <w:vAlign w:val="center"/>
          </w:tcPr>
          <w:p w14:paraId="68430F5D">
            <w:pPr>
              <w:pStyle w:val="10"/>
              <w:adjustRightInd w:val="0"/>
              <w:snapToGrid w:val="0"/>
              <w:ind w:firstLine="0" w:firstLineChars="0"/>
              <w:rPr>
                <w:rFonts w:hAnsi="宋体" w:cs="宋体"/>
                <w:sz w:val="18"/>
                <w:szCs w:val="18"/>
              </w:rPr>
            </w:pPr>
          </w:p>
        </w:tc>
        <w:tc>
          <w:tcPr>
            <w:tcW w:w="5058" w:type="dxa"/>
            <w:vAlign w:val="center"/>
          </w:tcPr>
          <w:p w14:paraId="6FB148D6">
            <w:pPr>
              <w:pStyle w:val="10"/>
              <w:adjustRightInd w:val="0"/>
              <w:snapToGrid w:val="0"/>
              <w:ind w:firstLine="0" w:firstLineChars="0"/>
              <w:rPr>
                <w:rFonts w:hAnsi="宋体" w:cs="宋体"/>
                <w:sz w:val="18"/>
                <w:szCs w:val="18"/>
              </w:rPr>
            </w:pPr>
            <w:r>
              <w:rPr>
                <w:rFonts w:hAnsi="宋体" w:cs="宋体"/>
                <w:sz w:val="18"/>
                <w:szCs w:val="18"/>
              </w:rPr>
              <w:t>异质性检验</w:t>
            </w:r>
          </w:p>
        </w:tc>
        <w:tc>
          <w:tcPr>
            <w:tcW w:w="1356" w:type="dxa"/>
            <w:vMerge w:val="continue"/>
            <w:vAlign w:val="center"/>
          </w:tcPr>
          <w:p w14:paraId="7F4422B7">
            <w:pPr>
              <w:pStyle w:val="10"/>
              <w:adjustRightInd w:val="0"/>
              <w:snapToGrid w:val="0"/>
              <w:ind w:firstLine="0" w:firstLineChars="0"/>
              <w:jc w:val="center"/>
              <w:rPr>
                <w:rFonts w:hAnsi="宋体" w:cs="宋体"/>
                <w:sz w:val="18"/>
                <w:szCs w:val="18"/>
              </w:rPr>
            </w:pPr>
          </w:p>
        </w:tc>
      </w:tr>
      <w:tr w14:paraId="427E0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D7A5BBA">
            <w:pPr>
              <w:pStyle w:val="10"/>
              <w:adjustRightInd w:val="0"/>
              <w:snapToGrid w:val="0"/>
              <w:ind w:firstLine="0" w:firstLineChars="0"/>
              <w:jc w:val="center"/>
              <w:rPr>
                <w:rFonts w:hAnsi="宋体" w:cs="宋体"/>
                <w:sz w:val="18"/>
                <w:szCs w:val="18"/>
              </w:rPr>
            </w:pPr>
          </w:p>
        </w:tc>
        <w:tc>
          <w:tcPr>
            <w:tcW w:w="1240" w:type="dxa"/>
            <w:vMerge w:val="restart"/>
            <w:vAlign w:val="center"/>
          </w:tcPr>
          <w:p w14:paraId="2A1D984F">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4C68C8D8">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6AEDDE82">
            <w:pPr>
              <w:pStyle w:val="10"/>
              <w:adjustRightInd w:val="0"/>
              <w:snapToGrid w:val="0"/>
              <w:ind w:firstLine="0" w:firstLineChars="0"/>
              <w:jc w:val="center"/>
              <w:rPr>
                <w:rFonts w:hAnsi="宋体" w:cs="宋体"/>
                <w:sz w:val="18"/>
                <w:szCs w:val="18"/>
              </w:rPr>
            </w:pPr>
          </w:p>
        </w:tc>
      </w:tr>
      <w:tr w14:paraId="40359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88B10AC">
            <w:pPr>
              <w:pStyle w:val="10"/>
              <w:adjustRightInd w:val="0"/>
              <w:snapToGrid w:val="0"/>
              <w:ind w:firstLine="0" w:firstLineChars="0"/>
              <w:jc w:val="center"/>
              <w:rPr>
                <w:rFonts w:hAnsi="宋体" w:cs="宋体"/>
                <w:sz w:val="18"/>
                <w:szCs w:val="18"/>
              </w:rPr>
            </w:pPr>
          </w:p>
        </w:tc>
        <w:tc>
          <w:tcPr>
            <w:tcW w:w="1240" w:type="dxa"/>
            <w:vMerge w:val="continue"/>
            <w:vAlign w:val="center"/>
          </w:tcPr>
          <w:p w14:paraId="0A0B9006">
            <w:pPr>
              <w:pStyle w:val="10"/>
              <w:adjustRightInd w:val="0"/>
              <w:snapToGrid w:val="0"/>
              <w:ind w:firstLine="0" w:firstLineChars="0"/>
              <w:rPr>
                <w:rFonts w:hAnsi="宋体" w:cs="宋体"/>
                <w:sz w:val="18"/>
                <w:szCs w:val="18"/>
              </w:rPr>
            </w:pPr>
          </w:p>
        </w:tc>
        <w:tc>
          <w:tcPr>
            <w:tcW w:w="5058" w:type="dxa"/>
            <w:vAlign w:val="center"/>
          </w:tcPr>
          <w:p w14:paraId="78A0DB44">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双向固定效应模型</w:t>
            </w:r>
            <w:r>
              <w:rPr>
                <w:rFonts w:hAnsi="宋体" w:cs="宋体"/>
                <w:spacing w:val="10"/>
                <w:sz w:val="18"/>
                <w:szCs w:val="18"/>
              </w:rPr>
              <w:t>建模技巧与论文写作技巧</w:t>
            </w:r>
          </w:p>
        </w:tc>
        <w:tc>
          <w:tcPr>
            <w:tcW w:w="1356" w:type="dxa"/>
            <w:vMerge w:val="continue"/>
            <w:vAlign w:val="center"/>
          </w:tcPr>
          <w:p w14:paraId="4E08BC88">
            <w:pPr>
              <w:pStyle w:val="10"/>
              <w:adjustRightInd w:val="0"/>
              <w:snapToGrid w:val="0"/>
              <w:ind w:firstLine="0" w:firstLineChars="0"/>
              <w:jc w:val="center"/>
              <w:rPr>
                <w:rFonts w:hAnsi="宋体" w:cs="宋体"/>
                <w:sz w:val="18"/>
                <w:szCs w:val="18"/>
              </w:rPr>
            </w:pPr>
          </w:p>
        </w:tc>
      </w:tr>
    </w:tbl>
    <w:p w14:paraId="641EA4B1">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1" w:name="_Toc4650"/>
      <w:r>
        <w:rPr>
          <w:rFonts w:hint="eastAsia" w:ascii="宋体" w:hAnsi="宋体" w:cs="宋体"/>
          <w:sz w:val="21"/>
          <w:szCs w:val="21"/>
        </w:rPr>
        <w:t>双向固定效应模型(管理层预期能否反映公司战略导向：基于行为经济学的研究)</w:t>
      </w:r>
      <w:bookmarkEnd w:id="31"/>
    </w:p>
    <w:p w14:paraId="06A0F5CB">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680217E7">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3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54489E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335BEABC">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684904C3">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59D42C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00EA2A47">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3264A329">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0B692D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3BC27A1F">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2ED3B8E6">
            <w:pPr>
              <w:pStyle w:val="10"/>
              <w:adjustRightInd w:val="0"/>
              <w:snapToGrid w:val="0"/>
              <w:ind w:firstLine="0" w:firstLineChars="0"/>
              <w:jc w:val="left"/>
              <w:rPr>
                <w:rFonts w:hAnsi="宋体" w:cs="宋体"/>
                <w:sz w:val="18"/>
                <w:szCs w:val="18"/>
              </w:rPr>
            </w:pPr>
            <w:r>
              <w:rPr>
                <w:rFonts w:hAnsi="宋体" w:cs="宋体"/>
                <w:sz w:val="18"/>
                <w:szCs w:val="18"/>
              </w:rPr>
              <w:t>包含10份实训指导书、1个案例视频、1份数据、1份论文仿写设计报告模板。</w:t>
            </w:r>
          </w:p>
        </w:tc>
      </w:tr>
      <w:tr w14:paraId="57B3BE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5D12519A">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22D16F9E">
            <w:pPr>
              <w:pStyle w:val="10"/>
              <w:adjustRightInd w:val="0"/>
              <w:snapToGrid w:val="0"/>
              <w:ind w:firstLine="0" w:firstLineChars="0"/>
              <w:jc w:val="left"/>
              <w:rPr>
                <w:rFonts w:hAnsi="宋体" w:cs="宋体"/>
                <w:sz w:val="18"/>
                <w:szCs w:val="18"/>
              </w:rPr>
            </w:pPr>
            <w:r>
              <w:rPr>
                <w:rFonts w:hAnsi="宋体" w:cs="宋体"/>
                <w:sz w:val="18"/>
                <w:szCs w:val="18"/>
              </w:rPr>
              <w:t>高效掌握双向固定效应模型建模技巧与论文写作技巧</w:t>
            </w:r>
          </w:p>
        </w:tc>
      </w:tr>
      <w:tr w14:paraId="11102C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25A9374C">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67BB21E5">
            <w:pPr>
              <w:pStyle w:val="10"/>
              <w:adjustRightInd w:val="0"/>
              <w:snapToGrid w:val="0"/>
              <w:ind w:firstLine="0" w:firstLineChars="0"/>
              <w:jc w:val="left"/>
              <w:rPr>
                <w:rFonts w:hAnsi="宋体" w:cs="宋体"/>
                <w:sz w:val="18"/>
                <w:szCs w:val="18"/>
              </w:rPr>
            </w:pPr>
            <w:r>
              <w:rPr>
                <w:rFonts w:hAnsi="宋体" w:cs="宋体"/>
                <w:sz w:val="18"/>
                <w:szCs w:val="18"/>
              </w:rPr>
              <w:t>管理层预期能否反映公司战略导向：基于行为经济学的研究</w:t>
            </w:r>
          </w:p>
        </w:tc>
      </w:tr>
    </w:tbl>
    <w:p w14:paraId="34834514">
      <w:pPr>
        <w:adjustRightInd w:val="0"/>
        <w:snapToGrid w:val="0"/>
        <w:ind w:firstLine="420"/>
        <w:jc w:val="left"/>
        <w:rPr>
          <w:rFonts w:hint="eastAsia" w:ascii="宋体" w:hAnsi="宋体" w:cs="宋体"/>
          <w:sz w:val="21"/>
          <w:szCs w:val="21"/>
        </w:rPr>
      </w:pPr>
      <w:r>
        <w:rPr>
          <w:rFonts w:hint="eastAsia" w:ascii="宋体" w:hAnsi="宋体" w:cs="宋体"/>
          <w:sz w:val="21"/>
          <w:szCs w:val="21"/>
        </w:rPr>
        <w:t>双向固定效应模型（Two-Way Fixed Effects Model）是一种广泛应用于面板数据分析的计量方法，通过同时控制</w:t>
      </w:r>
      <w:r>
        <w:rPr>
          <w:rFonts w:ascii="宋体" w:hAnsi="宋体" w:cs="宋体"/>
          <w:sz w:val="21"/>
          <w:szCs w:val="21"/>
        </w:rPr>
        <w:t>个体固定效应（如企业、地区、个人）和时间固定效应（如年份、季度），以消除不随时间变化的个体异质性和不随个体变化的宏观时间趋势，从而提高因果推断的准确性。</w:t>
      </w:r>
      <w:r>
        <w:rPr>
          <w:rFonts w:hint="eastAsia" w:ascii="宋体" w:hAnsi="宋体" w:cs="宋体"/>
          <w:sz w:val="21"/>
          <w:szCs w:val="21"/>
        </w:rPr>
        <w:t>可应用于控制不可观测的异质性、因果推断中的混杂因素控制、多期双重差分（DID）的基础框架、动态面板数据建模、异质性效应分析、微观实证研究等</w:t>
      </w:r>
      <w:r>
        <w:rPr>
          <w:rFonts w:ascii="宋体" w:hAnsi="宋体" w:cs="宋体"/>
          <w:sz w:val="21"/>
          <w:szCs w:val="21"/>
        </w:rPr>
        <w:t>应用场景及相关案例</w:t>
      </w:r>
      <w:r>
        <w:rPr>
          <w:rFonts w:hint="eastAsia" w:ascii="宋体" w:hAnsi="宋体" w:cs="宋体"/>
          <w:sz w:val="21"/>
          <w:szCs w:val="21"/>
        </w:rPr>
        <w:t>。</w:t>
      </w:r>
    </w:p>
    <w:p w14:paraId="2AFDE0D1">
      <w:pPr>
        <w:adjustRightInd w:val="0"/>
        <w:snapToGrid w:val="0"/>
        <w:ind w:firstLine="420"/>
        <w:jc w:val="left"/>
      </w:pPr>
      <w:r>
        <w:rPr>
          <w:rFonts w:hint="eastAsia" w:ascii="宋体" w:hAnsi="宋体" w:cs="宋体"/>
          <w:sz w:val="21"/>
          <w:szCs w:val="21"/>
        </w:rPr>
        <w:t>双向固定效应模型的前提条件与注意事项：</w:t>
      </w:r>
    </w:p>
    <w:p w14:paraId="68A66F84">
      <w:pPr>
        <w:adjustRightInd w:val="0"/>
        <w:snapToGrid w:val="0"/>
        <w:ind w:firstLine="420"/>
        <w:jc w:val="left"/>
        <w:rPr>
          <w:rFonts w:hint="eastAsia" w:ascii="宋体" w:hAnsi="宋体" w:cs="宋体"/>
          <w:sz w:val="21"/>
          <w:szCs w:val="21"/>
        </w:rPr>
      </w:pPr>
      <w:r>
        <w:rPr>
          <w:rFonts w:hint="eastAsia" w:ascii="宋体" w:hAnsi="宋体" w:cs="宋体"/>
          <w:sz w:val="21"/>
          <w:szCs w:val="21"/>
        </w:rPr>
        <w:t>严格的外生性假设：解释变量需与误差项无关（如不存在反向因果或遗漏变量）。</w:t>
      </w:r>
    </w:p>
    <w:p w14:paraId="541100A1">
      <w:pPr>
        <w:adjustRightInd w:val="0"/>
        <w:snapToGrid w:val="0"/>
        <w:ind w:firstLine="420"/>
        <w:jc w:val="left"/>
        <w:rPr>
          <w:rFonts w:hint="eastAsia" w:ascii="宋体" w:hAnsi="宋体" w:cs="宋体"/>
          <w:sz w:val="21"/>
          <w:szCs w:val="21"/>
        </w:rPr>
      </w:pPr>
      <w:r>
        <w:rPr>
          <w:rFonts w:hint="eastAsia" w:ascii="宋体" w:hAnsi="宋体" w:cs="宋体"/>
          <w:sz w:val="21"/>
          <w:szCs w:val="21"/>
        </w:rPr>
        <w:t>线性关系假设：模型默认变量间为线性关系，非线性场景需谨慎。</w:t>
      </w:r>
    </w:p>
    <w:p w14:paraId="2B520CFC">
      <w:pPr>
        <w:adjustRightInd w:val="0"/>
        <w:snapToGrid w:val="0"/>
        <w:ind w:firstLine="420"/>
        <w:jc w:val="left"/>
        <w:rPr>
          <w:rFonts w:hint="eastAsia" w:ascii="宋体" w:hAnsi="宋体" w:cs="宋体"/>
          <w:sz w:val="21"/>
          <w:szCs w:val="21"/>
        </w:rPr>
      </w:pPr>
      <w:r>
        <w:rPr>
          <w:rFonts w:hint="eastAsia" w:ascii="宋体" w:hAnsi="宋体" w:cs="宋体"/>
          <w:sz w:val="21"/>
          <w:szCs w:val="21"/>
        </w:rPr>
        <w:t>固定效应与随机效应选择：若个体/时间效应与解释变量相关，需使用固定效应而非随机效应。</w:t>
      </w:r>
    </w:p>
    <w:p w14:paraId="05C8F9FD">
      <w:pPr>
        <w:adjustRightInd w:val="0"/>
        <w:snapToGrid w:val="0"/>
        <w:ind w:firstLine="420"/>
        <w:jc w:val="left"/>
        <w:rPr>
          <w:rFonts w:hint="eastAsia" w:ascii="宋体" w:hAnsi="宋体" w:cs="宋体"/>
          <w:sz w:val="21"/>
          <w:szCs w:val="21"/>
        </w:rPr>
      </w:pPr>
      <w:r>
        <w:rPr>
          <w:rFonts w:hint="eastAsia" w:ascii="宋体" w:hAnsi="宋体" w:cs="宋体"/>
          <w:sz w:val="21"/>
          <w:szCs w:val="21"/>
        </w:rPr>
        <w:t>样本量要求：需足够多的个体和时间维度，否则可能产生过拟合或共线性问题。</w:t>
      </w:r>
    </w:p>
    <w:p w14:paraId="0A2B1B9B">
      <w:pPr>
        <w:adjustRightInd w:val="0"/>
        <w:snapToGrid w:val="0"/>
        <w:ind w:firstLine="420"/>
        <w:jc w:val="left"/>
        <w:rPr>
          <w:rFonts w:hint="eastAsia" w:ascii="宋体" w:hAnsi="宋体" w:cs="宋体"/>
          <w:sz w:val="21"/>
          <w:szCs w:val="21"/>
        </w:rPr>
      </w:pPr>
      <w:r>
        <w:rPr>
          <w:rFonts w:hint="eastAsia" w:ascii="宋体" w:hAnsi="宋体" w:cs="宋体"/>
          <w:sz w:val="21"/>
          <w:szCs w:val="21"/>
        </w:rPr>
        <w:t>双向固定效应模型是面板数据分析的“瑞士军刀”，适用于需要同时剥离个体差异和时间趋势的场景，尤其在以下情况中表现突出：</w:t>
      </w:r>
    </w:p>
    <w:p w14:paraId="32CEC1BB">
      <w:pPr>
        <w:adjustRightInd w:val="0"/>
        <w:snapToGrid w:val="0"/>
        <w:ind w:firstLine="420"/>
        <w:jc w:val="left"/>
        <w:rPr>
          <w:rFonts w:hint="eastAsia" w:ascii="宋体" w:hAnsi="宋体" w:cs="宋体"/>
          <w:sz w:val="21"/>
          <w:szCs w:val="21"/>
        </w:rPr>
      </w:pPr>
      <w:r>
        <w:rPr>
          <w:rFonts w:hint="eastAsia" w:ascii="宋体" w:hAnsi="宋体" w:cs="宋体"/>
          <w:sz w:val="21"/>
          <w:szCs w:val="21"/>
        </w:rPr>
        <w:t>数据存在不可观测的个体/时间异质性；</w:t>
      </w:r>
    </w:p>
    <w:p w14:paraId="40EAF428">
      <w:pPr>
        <w:adjustRightInd w:val="0"/>
        <w:snapToGrid w:val="0"/>
        <w:ind w:firstLine="420"/>
        <w:jc w:val="left"/>
        <w:rPr>
          <w:rFonts w:hint="eastAsia" w:ascii="宋体" w:hAnsi="宋体" w:cs="宋体"/>
          <w:sz w:val="21"/>
          <w:szCs w:val="21"/>
        </w:rPr>
      </w:pPr>
      <w:r>
        <w:rPr>
          <w:rFonts w:hint="eastAsia" w:ascii="宋体" w:hAnsi="宋体" w:cs="宋体"/>
          <w:sz w:val="21"/>
          <w:szCs w:val="21"/>
        </w:rPr>
        <w:t>需进行因果推断但无法随机分组（如政策评估、社会科学实证）；</w:t>
      </w:r>
    </w:p>
    <w:p w14:paraId="10A5787A">
      <w:pPr>
        <w:adjustRightInd w:val="0"/>
        <w:snapToGrid w:val="0"/>
        <w:ind w:firstLine="420"/>
        <w:jc w:val="left"/>
        <w:rPr>
          <w:rFonts w:hint="eastAsia" w:ascii="宋体" w:hAnsi="宋体" w:cs="宋体"/>
          <w:sz w:val="21"/>
          <w:szCs w:val="21"/>
        </w:rPr>
      </w:pPr>
      <w:r>
        <w:rPr>
          <w:rFonts w:hint="eastAsia" w:ascii="宋体" w:hAnsi="宋体" w:cs="宋体"/>
          <w:sz w:val="21"/>
          <w:szCs w:val="21"/>
        </w:rPr>
        <w:t>研究动态效应或异质性影响。</w:t>
      </w:r>
    </w:p>
    <w:p w14:paraId="2DDC85E3">
      <w:pPr>
        <w:pStyle w:val="2"/>
        <w:ind w:left="0" w:leftChars="0" w:firstLine="0" w:firstLineChars="0"/>
        <w:rPr>
          <w:rFonts w:hint="eastAsia"/>
        </w:rPr>
      </w:pPr>
      <w:r>
        <w:drawing>
          <wp:inline distT="0" distB="0" distL="114300" distR="114300">
            <wp:extent cx="5273675" cy="2922270"/>
            <wp:effectExtent l="0" t="0" r="9525" b="114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8"/>
                    <a:stretch>
                      <a:fillRect/>
                    </a:stretch>
                  </pic:blipFill>
                  <pic:spPr>
                    <a:xfrm>
                      <a:off x="0" y="0"/>
                      <a:ext cx="5273675" cy="2922270"/>
                    </a:xfrm>
                    <a:prstGeom prst="rect">
                      <a:avLst/>
                    </a:prstGeom>
                    <a:noFill/>
                    <a:ln>
                      <a:noFill/>
                    </a:ln>
                  </pic:spPr>
                </pic:pic>
              </a:graphicData>
            </a:graphic>
          </wp:inline>
        </w:drawing>
      </w:r>
    </w:p>
    <w:p w14:paraId="370BA0E9">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5428D426">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4 双向固定效应模型（管理层预期能否反映公司战略导向：基于行为经济学的研究）</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70359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3D5F96EA">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172D5212">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40B245D2">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122D557F">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721FB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523676AF">
            <w:pPr>
              <w:pStyle w:val="10"/>
              <w:adjustRightInd w:val="0"/>
              <w:snapToGrid w:val="0"/>
              <w:ind w:firstLine="0" w:firstLineChars="0"/>
              <w:jc w:val="center"/>
              <w:rPr>
                <w:rFonts w:hAnsi="宋体" w:cs="宋体"/>
                <w:sz w:val="18"/>
                <w:szCs w:val="18"/>
              </w:rPr>
            </w:pPr>
          </w:p>
          <w:p w14:paraId="0E73EE6B">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双向固定效应模型（管理层预期能否反映公司战略导向：基于行为经济学的研究）</w:t>
            </w:r>
          </w:p>
          <w:p w14:paraId="108E465B">
            <w:pPr>
              <w:pStyle w:val="10"/>
              <w:adjustRightInd w:val="0"/>
              <w:snapToGrid w:val="0"/>
              <w:ind w:firstLine="0" w:firstLineChars="0"/>
              <w:jc w:val="center"/>
              <w:rPr>
                <w:rFonts w:hAnsi="宋体" w:cs="宋体"/>
                <w:sz w:val="18"/>
                <w:szCs w:val="18"/>
              </w:rPr>
            </w:pPr>
          </w:p>
          <w:p w14:paraId="3D2DCF79">
            <w:pPr>
              <w:pStyle w:val="10"/>
              <w:adjustRightInd w:val="0"/>
              <w:snapToGrid w:val="0"/>
              <w:ind w:firstLine="0" w:firstLineChars="0"/>
              <w:jc w:val="center"/>
              <w:rPr>
                <w:rFonts w:hAnsi="宋体" w:cs="宋体"/>
                <w:sz w:val="18"/>
                <w:szCs w:val="18"/>
              </w:rPr>
            </w:pPr>
          </w:p>
        </w:tc>
        <w:tc>
          <w:tcPr>
            <w:tcW w:w="1240" w:type="dxa"/>
            <w:vMerge w:val="restart"/>
            <w:vAlign w:val="center"/>
          </w:tcPr>
          <w:p w14:paraId="217D3A90">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5C3C657A">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140DD7E2">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07264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57FAC2D">
            <w:pPr>
              <w:pStyle w:val="10"/>
              <w:adjustRightInd w:val="0"/>
              <w:snapToGrid w:val="0"/>
              <w:ind w:firstLine="0" w:firstLineChars="0"/>
              <w:jc w:val="center"/>
              <w:rPr>
                <w:rFonts w:hAnsi="宋体" w:cs="宋体"/>
                <w:sz w:val="18"/>
                <w:szCs w:val="18"/>
              </w:rPr>
            </w:pPr>
          </w:p>
        </w:tc>
        <w:tc>
          <w:tcPr>
            <w:tcW w:w="1240" w:type="dxa"/>
            <w:vMerge w:val="continue"/>
            <w:vAlign w:val="center"/>
          </w:tcPr>
          <w:p w14:paraId="4DFD202D">
            <w:pPr>
              <w:pStyle w:val="10"/>
              <w:adjustRightInd w:val="0"/>
              <w:snapToGrid w:val="0"/>
              <w:ind w:firstLine="0" w:firstLineChars="0"/>
              <w:rPr>
                <w:rFonts w:hAnsi="宋体" w:cs="宋体"/>
                <w:spacing w:val="10"/>
                <w:sz w:val="18"/>
                <w:szCs w:val="18"/>
              </w:rPr>
            </w:pPr>
          </w:p>
        </w:tc>
        <w:tc>
          <w:tcPr>
            <w:tcW w:w="5058" w:type="dxa"/>
            <w:vAlign w:val="center"/>
          </w:tcPr>
          <w:p w14:paraId="02C8326C">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55430511">
            <w:pPr>
              <w:pStyle w:val="10"/>
              <w:adjustRightInd w:val="0"/>
              <w:snapToGrid w:val="0"/>
              <w:ind w:firstLine="0" w:firstLineChars="0"/>
              <w:jc w:val="center"/>
              <w:rPr>
                <w:rFonts w:hAnsi="宋体" w:cs="宋体"/>
                <w:spacing w:val="10"/>
                <w:sz w:val="18"/>
                <w:szCs w:val="18"/>
              </w:rPr>
            </w:pPr>
          </w:p>
        </w:tc>
      </w:tr>
      <w:tr w14:paraId="04DED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197CBED">
            <w:pPr>
              <w:pStyle w:val="10"/>
              <w:adjustRightInd w:val="0"/>
              <w:snapToGrid w:val="0"/>
              <w:ind w:firstLine="0" w:firstLineChars="0"/>
              <w:jc w:val="center"/>
              <w:rPr>
                <w:rFonts w:hAnsi="宋体" w:cs="宋体"/>
                <w:sz w:val="18"/>
                <w:szCs w:val="18"/>
              </w:rPr>
            </w:pPr>
          </w:p>
        </w:tc>
        <w:tc>
          <w:tcPr>
            <w:tcW w:w="1240" w:type="dxa"/>
            <w:vMerge w:val="continue"/>
            <w:vAlign w:val="center"/>
          </w:tcPr>
          <w:p w14:paraId="17772EC6">
            <w:pPr>
              <w:pStyle w:val="10"/>
              <w:adjustRightInd w:val="0"/>
              <w:snapToGrid w:val="0"/>
              <w:ind w:firstLine="0" w:firstLineChars="0"/>
              <w:rPr>
                <w:rFonts w:hAnsi="宋体" w:cs="宋体"/>
                <w:spacing w:val="10"/>
                <w:sz w:val="18"/>
                <w:szCs w:val="18"/>
              </w:rPr>
            </w:pPr>
          </w:p>
        </w:tc>
        <w:tc>
          <w:tcPr>
            <w:tcW w:w="5058" w:type="dxa"/>
            <w:vAlign w:val="center"/>
          </w:tcPr>
          <w:p w14:paraId="524A1614">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7F3DE749">
            <w:pPr>
              <w:pStyle w:val="10"/>
              <w:adjustRightInd w:val="0"/>
              <w:snapToGrid w:val="0"/>
              <w:ind w:firstLine="0" w:firstLineChars="0"/>
              <w:jc w:val="center"/>
              <w:rPr>
                <w:rFonts w:hAnsi="宋体" w:cs="宋体"/>
                <w:spacing w:val="10"/>
                <w:sz w:val="18"/>
                <w:szCs w:val="18"/>
              </w:rPr>
            </w:pPr>
          </w:p>
        </w:tc>
      </w:tr>
      <w:tr w14:paraId="5FFD7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4BFB89A">
            <w:pPr>
              <w:pStyle w:val="10"/>
              <w:adjustRightInd w:val="0"/>
              <w:snapToGrid w:val="0"/>
              <w:ind w:firstLine="0" w:firstLineChars="0"/>
              <w:jc w:val="center"/>
              <w:rPr>
                <w:rFonts w:hAnsi="宋体" w:cs="宋体"/>
                <w:sz w:val="18"/>
                <w:szCs w:val="18"/>
              </w:rPr>
            </w:pPr>
          </w:p>
        </w:tc>
        <w:tc>
          <w:tcPr>
            <w:tcW w:w="1240" w:type="dxa"/>
            <w:vMerge w:val="restart"/>
            <w:vAlign w:val="center"/>
          </w:tcPr>
          <w:p w14:paraId="7A19F2AA">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507F5460">
            <w:pPr>
              <w:pStyle w:val="10"/>
              <w:adjustRightInd w:val="0"/>
              <w:snapToGrid w:val="0"/>
              <w:ind w:firstLine="0" w:firstLineChars="0"/>
              <w:rPr>
                <w:rFonts w:hAnsi="宋体" w:cs="宋体"/>
                <w:sz w:val="18"/>
                <w:szCs w:val="18"/>
              </w:rPr>
            </w:pPr>
            <w:r>
              <w:rPr>
                <w:rFonts w:hAnsi="宋体" w:cs="宋体"/>
                <w:sz w:val="18"/>
                <w:szCs w:val="18"/>
              </w:rPr>
              <w:t>任务1：各变量描述性统计</w:t>
            </w:r>
          </w:p>
        </w:tc>
        <w:tc>
          <w:tcPr>
            <w:tcW w:w="1356" w:type="dxa"/>
            <w:vMerge w:val="continue"/>
            <w:vAlign w:val="center"/>
          </w:tcPr>
          <w:p w14:paraId="3FD4C104">
            <w:pPr>
              <w:pStyle w:val="10"/>
              <w:adjustRightInd w:val="0"/>
              <w:snapToGrid w:val="0"/>
              <w:ind w:firstLine="0" w:firstLineChars="0"/>
              <w:jc w:val="center"/>
              <w:rPr>
                <w:rFonts w:hAnsi="宋体" w:cs="宋体"/>
                <w:sz w:val="18"/>
                <w:szCs w:val="18"/>
              </w:rPr>
            </w:pPr>
          </w:p>
        </w:tc>
      </w:tr>
      <w:tr w14:paraId="23948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AC99F1F">
            <w:pPr>
              <w:pStyle w:val="10"/>
              <w:adjustRightInd w:val="0"/>
              <w:snapToGrid w:val="0"/>
              <w:ind w:firstLine="0" w:firstLineChars="0"/>
              <w:jc w:val="center"/>
              <w:rPr>
                <w:rFonts w:hAnsi="宋体" w:cs="宋体"/>
                <w:sz w:val="18"/>
                <w:szCs w:val="18"/>
              </w:rPr>
            </w:pPr>
          </w:p>
        </w:tc>
        <w:tc>
          <w:tcPr>
            <w:tcW w:w="1240" w:type="dxa"/>
            <w:vMerge w:val="continue"/>
            <w:vAlign w:val="center"/>
          </w:tcPr>
          <w:p w14:paraId="43EA37FC">
            <w:pPr>
              <w:pStyle w:val="10"/>
              <w:adjustRightInd w:val="0"/>
              <w:snapToGrid w:val="0"/>
              <w:ind w:firstLine="0" w:firstLineChars="0"/>
              <w:rPr>
                <w:rFonts w:hAnsi="宋体" w:cs="宋体"/>
                <w:sz w:val="18"/>
                <w:szCs w:val="18"/>
              </w:rPr>
            </w:pPr>
          </w:p>
        </w:tc>
        <w:tc>
          <w:tcPr>
            <w:tcW w:w="5058" w:type="dxa"/>
            <w:vAlign w:val="center"/>
          </w:tcPr>
          <w:p w14:paraId="0B72A294">
            <w:pPr>
              <w:pStyle w:val="10"/>
              <w:adjustRightInd w:val="0"/>
              <w:snapToGrid w:val="0"/>
              <w:ind w:firstLine="0" w:firstLineChars="0"/>
              <w:rPr>
                <w:rFonts w:hAnsi="宋体" w:cs="宋体"/>
                <w:sz w:val="18"/>
                <w:szCs w:val="18"/>
              </w:rPr>
            </w:pPr>
            <w:r>
              <w:rPr>
                <w:rFonts w:hAnsi="宋体" w:cs="宋体"/>
                <w:sz w:val="18"/>
                <w:szCs w:val="18"/>
              </w:rPr>
              <w:t>任务2：方差膨胀因子检验结果</w:t>
            </w:r>
          </w:p>
        </w:tc>
        <w:tc>
          <w:tcPr>
            <w:tcW w:w="1356" w:type="dxa"/>
            <w:vMerge w:val="continue"/>
            <w:vAlign w:val="center"/>
          </w:tcPr>
          <w:p w14:paraId="47D3CE0C">
            <w:pPr>
              <w:pStyle w:val="10"/>
              <w:adjustRightInd w:val="0"/>
              <w:snapToGrid w:val="0"/>
              <w:ind w:firstLine="0" w:firstLineChars="0"/>
              <w:jc w:val="center"/>
              <w:rPr>
                <w:rFonts w:hAnsi="宋体" w:cs="宋体"/>
                <w:sz w:val="18"/>
                <w:szCs w:val="18"/>
              </w:rPr>
            </w:pPr>
          </w:p>
        </w:tc>
      </w:tr>
      <w:tr w14:paraId="14311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49B291D">
            <w:pPr>
              <w:pStyle w:val="10"/>
              <w:adjustRightInd w:val="0"/>
              <w:snapToGrid w:val="0"/>
              <w:ind w:firstLine="0" w:firstLineChars="0"/>
              <w:jc w:val="center"/>
              <w:rPr>
                <w:rFonts w:hAnsi="宋体" w:cs="宋体"/>
                <w:sz w:val="18"/>
                <w:szCs w:val="18"/>
              </w:rPr>
            </w:pPr>
          </w:p>
        </w:tc>
        <w:tc>
          <w:tcPr>
            <w:tcW w:w="1240" w:type="dxa"/>
            <w:vMerge w:val="continue"/>
            <w:vAlign w:val="center"/>
          </w:tcPr>
          <w:p w14:paraId="1F84F6B5">
            <w:pPr>
              <w:pStyle w:val="10"/>
              <w:adjustRightInd w:val="0"/>
              <w:snapToGrid w:val="0"/>
              <w:ind w:firstLine="0" w:firstLineChars="0"/>
              <w:rPr>
                <w:rFonts w:hAnsi="宋体" w:cs="宋体"/>
                <w:sz w:val="18"/>
                <w:szCs w:val="18"/>
              </w:rPr>
            </w:pPr>
          </w:p>
        </w:tc>
        <w:tc>
          <w:tcPr>
            <w:tcW w:w="5058" w:type="dxa"/>
            <w:vAlign w:val="center"/>
          </w:tcPr>
          <w:p w14:paraId="4AF947EF">
            <w:pPr>
              <w:pStyle w:val="10"/>
              <w:adjustRightInd w:val="0"/>
              <w:snapToGrid w:val="0"/>
              <w:ind w:firstLine="0" w:firstLineChars="0"/>
              <w:rPr>
                <w:rFonts w:hAnsi="宋体" w:cs="宋体"/>
                <w:sz w:val="18"/>
                <w:szCs w:val="18"/>
              </w:rPr>
            </w:pPr>
            <w:r>
              <w:rPr>
                <w:rFonts w:hAnsi="宋体" w:cs="宋体"/>
                <w:sz w:val="18"/>
                <w:szCs w:val="18"/>
              </w:rPr>
              <w:t>任务3：固定效应和随机效应的hausman检验结果</w:t>
            </w:r>
          </w:p>
        </w:tc>
        <w:tc>
          <w:tcPr>
            <w:tcW w:w="1356" w:type="dxa"/>
            <w:vMerge w:val="continue"/>
            <w:vAlign w:val="center"/>
          </w:tcPr>
          <w:p w14:paraId="58496EEB">
            <w:pPr>
              <w:pStyle w:val="10"/>
              <w:adjustRightInd w:val="0"/>
              <w:snapToGrid w:val="0"/>
              <w:ind w:firstLine="0" w:firstLineChars="0"/>
              <w:jc w:val="center"/>
              <w:rPr>
                <w:rFonts w:hAnsi="宋体" w:cs="宋体"/>
                <w:sz w:val="18"/>
                <w:szCs w:val="18"/>
              </w:rPr>
            </w:pPr>
          </w:p>
        </w:tc>
      </w:tr>
      <w:tr w14:paraId="4EA01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A753731">
            <w:pPr>
              <w:pStyle w:val="10"/>
              <w:adjustRightInd w:val="0"/>
              <w:snapToGrid w:val="0"/>
              <w:ind w:firstLine="0" w:firstLineChars="0"/>
              <w:jc w:val="center"/>
              <w:rPr>
                <w:rFonts w:hAnsi="宋体" w:cs="宋体"/>
                <w:sz w:val="18"/>
                <w:szCs w:val="18"/>
              </w:rPr>
            </w:pPr>
          </w:p>
        </w:tc>
        <w:tc>
          <w:tcPr>
            <w:tcW w:w="1240" w:type="dxa"/>
            <w:vMerge w:val="continue"/>
            <w:vAlign w:val="center"/>
          </w:tcPr>
          <w:p w14:paraId="3DD325AC">
            <w:pPr>
              <w:pStyle w:val="10"/>
              <w:adjustRightInd w:val="0"/>
              <w:snapToGrid w:val="0"/>
              <w:ind w:firstLine="0" w:firstLineChars="0"/>
              <w:rPr>
                <w:rFonts w:hAnsi="宋体" w:cs="宋体"/>
                <w:sz w:val="18"/>
                <w:szCs w:val="18"/>
              </w:rPr>
            </w:pPr>
          </w:p>
        </w:tc>
        <w:tc>
          <w:tcPr>
            <w:tcW w:w="5058" w:type="dxa"/>
            <w:vAlign w:val="center"/>
          </w:tcPr>
          <w:p w14:paraId="68590D46">
            <w:pPr>
              <w:pStyle w:val="10"/>
              <w:adjustRightInd w:val="0"/>
              <w:snapToGrid w:val="0"/>
              <w:ind w:firstLine="0" w:firstLineChars="0"/>
              <w:rPr>
                <w:rFonts w:hAnsi="宋体" w:cs="宋体"/>
                <w:sz w:val="18"/>
                <w:szCs w:val="18"/>
              </w:rPr>
            </w:pPr>
            <w:r>
              <w:rPr>
                <w:rFonts w:hAnsi="宋体" w:cs="宋体"/>
                <w:sz w:val="18"/>
                <w:szCs w:val="18"/>
              </w:rPr>
              <w:t>任务4：公司利润导向的回归结果</w:t>
            </w:r>
          </w:p>
        </w:tc>
        <w:tc>
          <w:tcPr>
            <w:tcW w:w="1356" w:type="dxa"/>
            <w:vMerge w:val="continue"/>
            <w:vAlign w:val="center"/>
          </w:tcPr>
          <w:p w14:paraId="3B5F35CF">
            <w:pPr>
              <w:pStyle w:val="10"/>
              <w:adjustRightInd w:val="0"/>
              <w:snapToGrid w:val="0"/>
              <w:ind w:firstLine="0" w:firstLineChars="0"/>
              <w:jc w:val="center"/>
              <w:rPr>
                <w:rFonts w:hAnsi="宋体" w:cs="宋体"/>
                <w:sz w:val="18"/>
                <w:szCs w:val="18"/>
              </w:rPr>
            </w:pPr>
          </w:p>
        </w:tc>
      </w:tr>
      <w:tr w14:paraId="730F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EC37F45">
            <w:pPr>
              <w:pStyle w:val="10"/>
              <w:adjustRightInd w:val="0"/>
              <w:snapToGrid w:val="0"/>
              <w:ind w:firstLine="0" w:firstLineChars="0"/>
              <w:jc w:val="center"/>
              <w:rPr>
                <w:rFonts w:hAnsi="宋体" w:cs="宋体"/>
                <w:sz w:val="18"/>
                <w:szCs w:val="18"/>
              </w:rPr>
            </w:pPr>
          </w:p>
        </w:tc>
        <w:tc>
          <w:tcPr>
            <w:tcW w:w="1240" w:type="dxa"/>
            <w:vMerge w:val="continue"/>
            <w:vAlign w:val="center"/>
          </w:tcPr>
          <w:p w14:paraId="5CF66A88">
            <w:pPr>
              <w:pStyle w:val="10"/>
              <w:adjustRightInd w:val="0"/>
              <w:snapToGrid w:val="0"/>
              <w:ind w:firstLine="0" w:firstLineChars="0"/>
              <w:rPr>
                <w:rFonts w:hAnsi="宋体" w:cs="宋体"/>
                <w:sz w:val="18"/>
                <w:szCs w:val="18"/>
              </w:rPr>
            </w:pPr>
          </w:p>
        </w:tc>
        <w:tc>
          <w:tcPr>
            <w:tcW w:w="5058" w:type="dxa"/>
            <w:vAlign w:val="center"/>
          </w:tcPr>
          <w:p w14:paraId="7461D5F8">
            <w:pPr>
              <w:pStyle w:val="10"/>
              <w:adjustRightInd w:val="0"/>
              <w:snapToGrid w:val="0"/>
              <w:ind w:firstLine="0" w:firstLineChars="0"/>
              <w:rPr>
                <w:rFonts w:hAnsi="宋体" w:cs="宋体"/>
                <w:sz w:val="18"/>
                <w:szCs w:val="18"/>
              </w:rPr>
            </w:pPr>
            <w:r>
              <w:rPr>
                <w:rFonts w:hAnsi="宋体" w:cs="宋体"/>
                <w:sz w:val="18"/>
                <w:szCs w:val="18"/>
              </w:rPr>
              <w:t>任务5：公司增长导向的回归结果</w:t>
            </w:r>
          </w:p>
        </w:tc>
        <w:tc>
          <w:tcPr>
            <w:tcW w:w="1356" w:type="dxa"/>
            <w:vMerge w:val="continue"/>
            <w:vAlign w:val="center"/>
          </w:tcPr>
          <w:p w14:paraId="685A80E1">
            <w:pPr>
              <w:pStyle w:val="10"/>
              <w:adjustRightInd w:val="0"/>
              <w:snapToGrid w:val="0"/>
              <w:ind w:firstLine="0" w:firstLineChars="0"/>
              <w:jc w:val="center"/>
              <w:rPr>
                <w:rFonts w:hAnsi="宋体" w:cs="宋体"/>
                <w:sz w:val="18"/>
                <w:szCs w:val="18"/>
              </w:rPr>
            </w:pPr>
          </w:p>
        </w:tc>
      </w:tr>
      <w:tr w14:paraId="0EA8A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73B88BF">
            <w:pPr>
              <w:pStyle w:val="10"/>
              <w:adjustRightInd w:val="0"/>
              <w:snapToGrid w:val="0"/>
              <w:ind w:firstLine="0" w:firstLineChars="0"/>
              <w:jc w:val="center"/>
              <w:rPr>
                <w:rFonts w:hAnsi="宋体" w:cs="宋体"/>
                <w:sz w:val="18"/>
                <w:szCs w:val="18"/>
              </w:rPr>
            </w:pPr>
          </w:p>
        </w:tc>
        <w:tc>
          <w:tcPr>
            <w:tcW w:w="1240" w:type="dxa"/>
            <w:vMerge w:val="continue"/>
            <w:vAlign w:val="center"/>
          </w:tcPr>
          <w:p w14:paraId="31F9C80D">
            <w:pPr>
              <w:pStyle w:val="10"/>
              <w:adjustRightInd w:val="0"/>
              <w:snapToGrid w:val="0"/>
              <w:ind w:firstLine="0" w:firstLineChars="0"/>
              <w:rPr>
                <w:rFonts w:hAnsi="宋体" w:cs="宋体"/>
                <w:sz w:val="18"/>
                <w:szCs w:val="18"/>
              </w:rPr>
            </w:pPr>
          </w:p>
        </w:tc>
        <w:tc>
          <w:tcPr>
            <w:tcW w:w="5058" w:type="dxa"/>
            <w:vAlign w:val="center"/>
          </w:tcPr>
          <w:p w14:paraId="567C6B32">
            <w:pPr>
              <w:pStyle w:val="10"/>
              <w:adjustRightInd w:val="0"/>
              <w:snapToGrid w:val="0"/>
              <w:ind w:firstLine="0" w:firstLineChars="0"/>
              <w:rPr>
                <w:rFonts w:hAnsi="宋体" w:cs="宋体"/>
                <w:sz w:val="18"/>
                <w:szCs w:val="18"/>
              </w:rPr>
            </w:pPr>
            <w:r>
              <w:rPr>
                <w:rFonts w:hAnsi="宋体" w:cs="宋体"/>
                <w:sz w:val="18"/>
                <w:szCs w:val="18"/>
              </w:rPr>
              <w:t>任务6：企业内控水平的中介效应</w:t>
            </w:r>
          </w:p>
        </w:tc>
        <w:tc>
          <w:tcPr>
            <w:tcW w:w="1356" w:type="dxa"/>
            <w:vMerge w:val="continue"/>
            <w:vAlign w:val="center"/>
          </w:tcPr>
          <w:p w14:paraId="7E293A26">
            <w:pPr>
              <w:pStyle w:val="10"/>
              <w:adjustRightInd w:val="0"/>
              <w:snapToGrid w:val="0"/>
              <w:ind w:firstLine="0" w:firstLineChars="0"/>
              <w:jc w:val="center"/>
              <w:rPr>
                <w:rFonts w:hAnsi="宋体" w:cs="宋体"/>
                <w:sz w:val="18"/>
                <w:szCs w:val="18"/>
              </w:rPr>
            </w:pPr>
          </w:p>
        </w:tc>
      </w:tr>
      <w:tr w14:paraId="68067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818D910">
            <w:pPr>
              <w:pStyle w:val="10"/>
              <w:adjustRightInd w:val="0"/>
              <w:snapToGrid w:val="0"/>
              <w:ind w:firstLine="0" w:firstLineChars="0"/>
              <w:jc w:val="center"/>
              <w:rPr>
                <w:rFonts w:hAnsi="宋体" w:cs="宋体"/>
                <w:sz w:val="18"/>
                <w:szCs w:val="18"/>
              </w:rPr>
            </w:pPr>
          </w:p>
        </w:tc>
        <w:tc>
          <w:tcPr>
            <w:tcW w:w="1240" w:type="dxa"/>
            <w:vMerge w:val="continue"/>
            <w:vAlign w:val="center"/>
          </w:tcPr>
          <w:p w14:paraId="6C4C3F22">
            <w:pPr>
              <w:pStyle w:val="10"/>
              <w:adjustRightInd w:val="0"/>
              <w:snapToGrid w:val="0"/>
              <w:ind w:firstLine="0" w:firstLineChars="0"/>
              <w:rPr>
                <w:rFonts w:hAnsi="宋体" w:cs="宋体"/>
                <w:sz w:val="18"/>
                <w:szCs w:val="18"/>
              </w:rPr>
            </w:pPr>
          </w:p>
        </w:tc>
        <w:tc>
          <w:tcPr>
            <w:tcW w:w="5058" w:type="dxa"/>
            <w:vAlign w:val="center"/>
          </w:tcPr>
          <w:p w14:paraId="441EF329">
            <w:pPr>
              <w:pStyle w:val="10"/>
              <w:adjustRightInd w:val="0"/>
              <w:snapToGrid w:val="0"/>
              <w:ind w:firstLine="0" w:firstLineChars="0"/>
              <w:rPr>
                <w:rFonts w:hAnsi="宋体" w:cs="宋体"/>
                <w:sz w:val="18"/>
                <w:szCs w:val="18"/>
              </w:rPr>
            </w:pPr>
            <w:r>
              <w:rPr>
                <w:rFonts w:hAnsi="宋体" w:cs="宋体"/>
                <w:sz w:val="18"/>
                <w:szCs w:val="18"/>
              </w:rPr>
              <w:t>任务7：公司增长导向的工具变量检验结果</w:t>
            </w:r>
          </w:p>
        </w:tc>
        <w:tc>
          <w:tcPr>
            <w:tcW w:w="1356" w:type="dxa"/>
            <w:vMerge w:val="continue"/>
            <w:vAlign w:val="center"/>
          </w:tcPr>
          <w:p w14:paraId="726356D0">
            <w:pPr>
              <w:pStyle w:val="10"/>
              <w:adjustRightInd w:val="0"/>
              <w:snapToGrid w:val="0"/>
              <w:ind w:firstLine="0" w:firstLineChars="0"/>
              <w:jc w:val="center"/>
              <w:rPr>
                <w:rFonts w:hAnsi="宋体" w:cs="宋体"/>
                <w:sz w:val="18"/>
                <w:szCs w:val="18"/>
              </w:rPr>
            </w:pPr>
          </w:p>
        </w:tc>
      </w:tr>
      <w:tr w14:paraId="36966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A3C68B4">
            <w:pPr>
              <w:pStyle w:val="10"/>
              <w:adjustRightInd w:val="0"/>
              <w:snapToGrid w:val="0"/>
              <w:ind w:firstLine="0" w:firstLineChars="0"/>
              <w:jc w:val="center"/>
              <w:rPr>
                <w:rFonts w:hAnsi="宋体" w:cs="宋体"/>
                <w:sz w:val="18"/>
                <w:szCs w:val="18"/>
              </w:rPr>
            </w:pPr>
          </w:p>
        </w:tc>
        <w:tc>
          <w:tcPr>
            <w:tcW w:w="1240" w:type="dxa"/>
            <w:vMerge w:val="continue"/>
            <w:vAlign w:val="center"/>
          </w:tcPr>
          <w:p w14:paraId="5A89A63E">
            <w:pPr>
              <w:pStyle w:val="10"/>
              <w:adjustRightInd w:val="0"/>
              <w:snapToGrid w:val="0"/>
              <w:ind w:firstLine="0" w:firstLineChars="0"/>
              <w:rPr>
                <w:rFonts w:hAnsi="宋体" w:cs="宋体"/>
                <w:sz w:val="18"/>
                <w:szCs w:val="18"/>
              </w:rPr>
            </w:pPr>
          </w:p>
        </w:tc>
        <w:tc>
          <w:tcPr>
            <w:tcW w:w="5058" w:type="dxa"/>
            <w:vAlign w:val="center"/>
          </w:tcPr>
          <w:p w14:paraId="6DBB8518">
            <w:pPr>
              <w:pStyle w:val="10"/>
              <w:adjustRightInd w:val="0"/>
              <w:snapToGrid w:val="0"/>
              <w:ind w:firstLine="0" w:firstLineChars="0"/>
              <w:rPr>
                <w:rFonts w:hAnsi="宋体" w:cs="宋体"/>
                <w:sz w:val="18"/>
                <w:szCs w:val="18"/>
              </w:rPr>
            </w:pPr>
            <w:r>
              <w:rPr>
                <w:rFonts w:hAnsi="宋体" w:cs="宋体"/>
                <w:sz w:val="18"/>
                <w:szCs w:val="18"/>
              </w:rPr>
              <w:t>任务8：倾向得分匹配检验结果</w:t>
            </w:r>
          </w:p>
        </w:tc>
        <w:tc>
          <w:tcPr>
            <w:tcW w:w="1356" w:type="dxa"/>
            <w:vMerge w:val="continue"/>
            <w:vAlign w:val="center"/>
          </w:tcPr>
          <w:p w14:paraId="4DEDCB20">
            <w:pPr>
              <w:pStyle w:val="10"/>
              <w:adjustRightInd w:val="0"/>
              <w:snapToGrid w:val="0"/>
              <w:ind w:firstLine="0" w:firstLineChars="0"/>
              <w:jc w:val="center"/>
              <w:rPr>
                <w:rFonts w:hAnsi="宋体" w:cs="宋体"/>
                <w:sz w:val="18"/>
                <w:szCs w:val="18"/>
              </w:rPr>
            </w:pPr>
          </w:p>
        </w:tc>
      </w:tr>
      <w:tr w14:paraId="136A2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35C721C">
            <w:pPr>
              <w:pStyle w:val="10"/>
              <w:adjustRightInd w:val="0"/>
              <w:snapToGrid w:val="0"/>
              <w:ind w:firstLine="0" w:firstLineChars="0"/>
              <w:jc w:val="center"/>
              <w:rPr>
                <w:rFonts w:hAnsi="宋体" w:cs="宋体"/>
                <w:sz w:val="18"/>
                <w:szCs w:val="18"/>
              </w:rPr>
            </w:pPr>
          </w:p>
        </w:tc>
        <w:tc>
          <w:tcPr>
            <w:tcW w:w="1240" w:type="dxa"/>
            <w:vMerge w:val="continue"/>
            <w:vAlign w:val="center"/>
          </w:tcPr>
          <w:p w14:paraId="4C9269DF">
            <w:pPr>
              <w:pStyle w:val="10"/>
              <w:adjustRightInd w:val="0"/>
              <w:snapToGrid w:val="0"/>
              <w:ind w:firstLine="0" w:firstLineChars="0"/>
              <w:rPr>
                <w:rFonts w:hAnsi="宋体" w:cs="宋体"/>
                <w:sz w:val="18"/>
                <w:szCs w:val="18"/>
              </w:rPr>
            </w:pPr>
          </w:p>
        </w:tc>
        <w:tc>
          <w:tcPr>
            <w:tcW w:w="5058" w:type="dxa"/>
            <w:vAlign w:val="center"/>
          </w:tcPr>
          <w:p w14:paraId="27F477B7">
            <w:pPr>
              <w:pStyle w:val="10"/>
              <w:adjustRightInd w:val="0"/>
              <w:snapToGrid w:val="0"/>
              <w:ind w:firstLine="0" w:firstLineChars="0"/>
              <w:rPr>
                <w:rFonts w:hAnsi="宋体" w:cs="宋体"/>
                <w:sz w:val="18"/>
                <w:szCs w:val="18"/>
              </w:rPr>
            </w:pPr>
            <w:r>
              <w:rPr>
                <w:rFonts w:hAnsi="宋体" w:cs="宋体"/>
                <w:sz w:val="18"/>
                <w:szCs w:val="18"/>
              </w:rPr>
              <w:t>任务9：异质性分析</w:t>
            </w:r>
          </w:p>
        </w:tc>
        <w:tc>
          <w:tcPr>
            <w:tcW w:w="1356" w:type="dxa"/>
            <w:vMerge w:val="continue"/>
            <w:vAlign w:val="center"/>
          </w:tcPr>
          <w:p w14:paraId="68A169F1">
            <w:pPr>
              <w:pStyle w:val="10"/>
              <w:adjustRightInd w:val="0"/>
              <w:snapToGrid w:val="0"/>
              <w:ind w:firstLine="0" w:firstLineChars="0"/>
              <w:jc w:val="center"/>
              <w:rPr>
                <w:rFonts w:hAnsi="宋体" w:cs="宋体"/>
                <w:sz w:val="18"/>
                <w:szCs w:val="18"/>
              </w:rPr>
            </w:pPr>
          </w:p>
        </w:tc>
      </w:tr>
      <w:tr w14:paraId="22FDF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979925E">
            <w:pPr>
              <w:pStyle w:val="10"/>
              <w:adjustRightInd w:val="0"/>
              <w:snapToGrid w:val="0"/>
              <w:ind w:firstLine="0" w:firstLineChars="0"/>
              <w:jc w:val="center"/>
              <w:rPr>
                <w:rFonts w:hAnsi="宋体" w:cs="宋体"/>
                <w:sz w:val="18"/>
                <w:szCs w:val="18"/>
              </w:rPr>
            </w:pPr>
          </w:p>
        </w:tc>
        <w:tc>
          <w:tcPr>
            <w:tcW w:w="1240" w:type="dxa"/>
            <w:vMerge w:val="restart"/>
            <w:vAlign w:val="center"/>
          </w:tcPr>
          <w:p w14:paraId="77F112EF">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76706583">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50F35B2F">
            <w:pPr>
              <w:pStyle w:val="10"/>
              <w:adjustRightInd w:val="0"/>
              <w:snapToGrid w:val="0"/>
              <w:ind w:firstLine="0" w:firstLineChars="0"/>
              <w:jc w:val="center"/>
              <w:rPr>
                <w:rFonts w:hAnsi="宋体" w:cs="宋体"/>
                <w:sz w:val="18"/>
                <w:szCs w:val="18"/>
              </w:rPr>
            </w:pPr>
          </w:p>
        </w:tc>
      </w:tr>
      <w:tr w14:paraId="2FCC6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446A0E4">
            <w:pPr>
              <w:pStyle w:val="10"/>
              <w:adjustRightInd w:val="0"/>
              <w:snapToGrid w:val="0"/>
              <w:ind w:firstLine="0" w:firstLineChars="0"/>
              <w:jc w:val="center"/>
              <w:rPr>
                <w:rFonts w:hAnsi="宋体" w:cs="宋体"/>
                <w:sz w:val="18"/>
                <w:szCs w:val="18"/>
              </w:rPr>
            </w:pPr>
          </w:p>
        </w:tc>
        <w:tc>
          <w:tcPr>
            <w:tcW w:w="1240" w:type="dxa"/>
            <w:vMerge w:val="continue"/>
            <w:vAlign w:val="center"/>
          </w:tcPr>
          <w:p w14:paraId="2496F22B">
            <w:pPr>
              <w:pStyle w:val="10"/>
              <w:adjustRightInd w:val="0"/>
              <w:snapToGrid w:val="0"/>
              <w:ind w:firstLine="0" w:firstLineChars="0"/>
              <w:rPr>
                <w:rFonts w:hAnsi="宋体" w:cs="宋体"/>
                <w:sz w:val="18"/>
                <w:szCs w:val="18"/>
              </w:rPr>
            </w:pPr>
          </w:p>
        </w:tc>
        <w:tc>
          <w:tcPr>
            <w:tcW w:w="5058" w:type="dxa"/>
            <w:vAlign w:val="center"/>
          </w:tcPr>
          <w:p w14:paraId="4DD51CF5">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双向固定效应模型</w:t>
            </w:r>
            <w:r>
              <w:rPr>
                <w:rFonts w:hAnsi="宋体" w:cs="宋体"/>
                <w:spacing w:val="10"/>
                <w:sz w:val="18"/>
                <w:szCs w:val="18"/>
              </w:rPr>
              <w:t>建模技巧与论文写作技巧</w:t>
            </w:r>
          </w:p>
        </w:tc>
        <w:tc>
          <w:tcPr>
            <w:tcW w:w="1356" w:type="dxa"/>
            <w:vMerge w:val="continue"/>
            <w:vAlign w:val="center"/>
          </w:tcPr>
          <w:p w14:paraId="03C4CBD5">
            <w:pPr>
              <w:pStyle w:val="10"/>
              <w:adjustRightInd w:val="0"/>
              <w:snapToGrid w:val="0"/>
              <w:ind w:firstLine="0" w:firstLineChars="0"/>
              <w:jc w:val="center"/>
              <w:rPr>
                <w:rFonts w:hAnsi="宋体" w:cs="宋体"/>
                <w:sz w:val="18"/>
                <w:szCs w:val="18"/>
              </w:rPr>
            </w:pPr>
          </w:p>
        </w:tc>
      </w:tr>
    </w:tbl>
    <w:p w14:paraId="4EE3049A">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2" w:name="_Toc3238"/>
      <w:r>
        <w:rPr>
          <w:rFonts w:hint="eastAsia" w:ascii="宋体" w:hAnsi="宋体" w:cs="宋体"/>
          <w:sz w:val="21"/>
          <w:szCs w:val="21"/>
        </w:rPr>
        <w:t>固定效应模型(数字化转型与银行信贷配置—基于银行贷款投向实体经济的视角)</w:t>
      </w:r>
      <w:bookmarkEnd w:id="32"/>
    </w:p>
    <w:p w14:paraId="7634545F">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5095A4D7">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5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75DFD5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17E1AE57">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47E9F81A">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185993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2713A00A">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36EF6099">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7EBEDA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3F7EEE2E">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03841FA6">
            <w:pPr>
              <w:pStyle w:val="10"/>
              <w:adjustRightInd w:val="0"/>
              <w:snapToGrid w:val="0"/>
              <w:ind w:firstLine="0" w:firstLineChars="0"/>
              <w:jc w:val="left"/>
              <w:rPr>
                <w:rFonts w:hAnsi="宋体" w:cs="宋体"/>
                <w:sz w:val="18"/>
                <w:szCs w:val="18"/>
              </w:rPr>
            </w:pPr>
            <w:r>
              <w:rPr>
                <w:rFonts w:hAnsi="宋体" w:cs="宋体"/>
                <w:sz w:val="18"/>
                <w:szCs w:val="18"/>
              </w:rPr>
              <w:t>包含11份实训指导书、5个案例视频、1份数据、1份论文仿写设计报告模板。</w:t>
            </w:r>
          </w:p>
        </w:tc>
      </w:tr>
      <w:tr w14:paraId="0742F8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7AE38115">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04DC01F0">
            <w:pPr>
              <w:pStyle w:val="10"/>
              <w:adjustRightInd w:val="0"/>
              <w:snapToGrid w:val="0"/>
              <w:ind w:firstLine="0" w:firstLineChars="0"/>
              <w:jc w:val="left"/>
              <w:rPr>
                <w:rFonts w:hAnsi="宋体" w:cs="宋体"/>
                <w:sz w:val="18"/>
                <w:szCs w:val="18"/>
              </w:rPr>
            </w:pPr>
            <w:r>
              <w:rPr>
                <w:rFonts w:hAnsi="宋体" w:cs="宋体"/>
                <w:sz w:val="18"/>
                <w:szCs w:val="18"/>
              </w:rPr>
              <w:t>高效掌握固定效应模型建模技巧与论文写作技巧</w:t>
            </w:r>
          </w:p>
        </w:tc>
      </w:tr>
      <w:tr w14:paraId="0DF889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2F4AF04C">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68F15937">
            <w:pPr>
              <w:pStyle w:val="10"/>
              <w:adjustRightInd w:val="0"/>
              <w:snapToGrid w:val="0"/>
              <w:ind w:firstLine="0" w:firstLineChars="0"/>
              <w:jc w:val="left"/>
              <w:rPr>
                <w:rFonts w:hAnsi="宋体" w:cs="宋体"/>
                <w:sz w:val="18"/>
                <w:szCs w:val="18"/>
              </w:rPr>
            </w:pPr>
            <w:r>
              <w:rPr>
                <w:rFonts w:hAnsi="宋体" w:cs="宋体"/>
                <w:sz w:val="18"/>
                <w:szCs w:val="18"/>
              </w:rPr>
              <w:t>数字化转型与银行信贷配置——基于银行贷款投向实体经济的视角</w:t>
            </w:r>
          </w:p>
        </w:tc>
      </w:tr>
    </w:tbl>
    <w:p w14:paraId="12BAB4B1">
      <w:pPr>
        <w:adjustRightInd w:val="0"/>
        <w:snapToGrid w:val="0"/>
        <w:ind w:firstLine="420"/>
        <w:jc w:val="left"/>
        <w:rPr>
          <w:rFonts w:hint="eastAsia" w:ascii="宋体" w:hAnsi="宋体" w:cs="宋体"/>
          <w:sz w:val="21"/>
          <w:szCs w:val="21"/>
        </w:rPr>
      </w:pPr>
      <w:r>
        <w:rPr>
          <w:rFonts w:hint="eastAsia" w:ascii="宋体" w:hAnsi="宋体" w:cs="宋体"/>
          <w:sz w:val="21"/>
          <w:szCs w:val="21"/>
        </w:rPr>
        <w:t>固定效应模型（Fixed Effects Model，FE）是一种用于面板数据分析的计量经济学方法，旨在控制个体或时间层面的不可观测异质性，从而更准确地估计变量间的因果关系。其核心思想是通过引入个体固定效应或时间固定效应，消除不随时间变化的个体差异或不随个体变化的时间趋势。主要应用于政策效果评估、企业绩效研究、区域经济分析、教育政策研究等场景。</w:t>
      </w:r>
    </w:p>
    <w:p w14:paraId="1FB2A01A">
      <w:pPr>
        <w:adjustRightInd w:val="0"/>
        <w:snapToGrid w:val="0"/>
        <w:ind w:firstLine="420"/>
        <w:jc w:val="left"/>
        <w:rPr>
          <w:rFonts w:hint="eastAsia" w:ascii="宋体" w:hAnsi="宋体" w:cs="宋体"/>
          <w:sz w:val="21"/>
          <w:szCs w:val="21"/>
        </w:rPr>
      </w:pPr>
      <w:r>
        <w:rPr>
          <w:rFonts w:hint="eastAsia" w:ascii="宋体" w:hAnsi="宋体" w:cs="宋体"/>
          <w:sz w:val="21"/>
          <w:szCs w:val="21"/>
        </w:rPr>
        <w:t>消除个体异质性</w:t>
      </w:r>
      <w:r>
        <w:rPr>
          <w:rFonts w:ascii="宋体" w:hAnsi="宋体" w:cs="宋体"/>
          <w:sz w:val="21"/>
          <w:szCs w:val="21"/>
        </w:rPr>
        <w:t>：通过个体固定效应，控制不随时间变化的个体特征，避免遗漏变量偏差。</w:t>
      </w:r>
    </w:p>
    <w:p w14:paraId="22B4C8F5">
      <w:pPr>
        <w:adjustRightInd w:val="0"/>
        <w:snapToGrid w:val="0"/>
        <w:ind w:firstLine="420"/>
        <w:jc w:val="left"/>
        <w:rPr>
          <w:rFonts w:hint="eastAsia" w:ascii="宋体" w:hAnsi="宋体" w:cs="宋体"/>
          <w:sz w:val="21"/>
          <w:szCs w:val="21"/>
        </w:rPr>
      </w:pPr>
      <w:r>
        <w:rPr>
          <w:rFonts w:ascii="宋体" w:hAnsi="宋体" w:cs="宋体"/>
          <w:sz w:val="21"/>
          <w:szCs w:val="21"/>
        </w:rPr>
        <w:t>控制时间趋势：通过时间固定效应，消除宏观时间趋势对结果的影响。</w:t>
      </w:r>
    </w:p>
    <w:p w14:paraId="0C8E2BBC">
      <w:pPr>
        <w:adjustRightInd w:val="0"/>
        <w:snapToGrid w:val="0"/>
        <w:ind w:firstLine="420"/>
        <w:jc w:val="left"/>
        <w:rPr>
          <w:rFonts w:ascii="宋体" w:hAnsi="宋体" w:cs="宋体"/>
          <w:sz w:val="21"/>
          <w:szCs w:val="21"/>
        </w:rPr>
      </w:pPr>
      <w:r>
        <w:rPr>
          <w:rFonts w:ascii="宋体" w:hAnsi="宋体" w:cs="宋体"/>
          <w:sz w:val="21"/>
          <w:szCs w:val="21"/>
        </w:rPr>
        <w:t>适用性：适用于面板数据（既有时间维度又有个体维度），且个体或时间效应与解释变量相关的情况。</w:t>
      </w:r>
    </w:p>
    <w:p w14:paraId="2AE92B7B">
      <w:pPr>
        <w:pStyle w:val="2"/>
        <w:ind w:left="0" w:leftChars="0" w:firstLine="0" w:firstLineChars="0"/>
      </w:pPr>
      <w:r>
        <w:drawing>
          <wp:inline distT="0" distB="0" distL="114300" distR="114300">
            <wp:extent cx="5272405" cy="3268345"/>
            <wp:effectExtent l="0" t="0" r="10795" b="825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9"/>
                    <a:stretch>
                      <a:fillRect/>
                    </a:stretch>
                  </pic:blipFill>
                  <pic:spPr>
                    <a:xfrm>
                      <a:off x="0" y="0"/>
                      <a:ext cx="5272405" cy="3268345"/>
                    </a:xfrm>
                    <a:prstGeom prst="rect">
                      <a:avLst/>
                    </a:prstGeom>
                    <a:noFill/>
                    <a:ln>
                      <a:noFill/>
                    </a:ln>
                  </pic:spPr>
                </pic:pic>
              </a:graphicData>
            </a:graphic>
          </wp:inline>
        </w:drawing>
      </w:r>
    </w:p>
    <w:p w14:paraId="45307EC6">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707C4399">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6 固定效应模型（数字化转型与银行信贷配置——基于银行贷款投向实体经济的视角）</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7CBA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6A3A4455">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585C658B">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6BB05837">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67352433">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0A017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1DAD64E4">
            <w:pPr>
              <w:pStyle w:val="10"/>
              <w:adjustRightInd w:val="0"/>
              <w:snapToGrid w:val="0"/>
              <w:ind w:firstLine="0" w:firstLineChars="0"/>
              <w:jc w:val="center"/>
              <w:rPr>
                <w:rFonts w:hAnsi="宋体" w:cs="宋体"/>
                <w:sz w:val="18"/>
                <w:szCs w:val="18"/>
              </w:rPr>
            </w:pPr>
          </w:p>
          <w:p w14:paraId="20043BE6">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固定效应模型（数字化转型与银行信贷配置—基于银行贷款投向实体经济的视角）</w:t>
            </w:r>
          </w:p>
          <w:p w14:paraId="5D7A9B74">
            <w:pPr>
              <w:pStyle w:val="10"/>
              <w:adjustRightInd w:val="0"/>
              <w:snapToGrid w:val="0"/>
              <w:ind w:firstLine="0" w:firstLineChars="0"/>
              <w:jc w:val="center"/>
              <w:rPr>
                <w:rFonts w:hAnsi="宋体" w:cs="宋体"/>
                <w:sz w:val="18"/>
                <w:szCs w:val="18"/>
              </w:rPr>
            </w:pPr>
          </w:p>
          <w:p w14:paraId="43AA941F">
            <w:pPr>
              <w:pStyle w:val="10"/>
              <w:adjustRightInd w:val="0"/>
              <w:snapToGrid w:val="0"/>
              <w:ind w:firstLine="0" w:firstLineChars="0"/>
              <w:jc w:val="center"/>
              <w:rPr>
                <w:rFonts w:hAnsi="宋体" w:cs="宋体"/>
                <w:sz w:val="18"/>
                <w:szCs w:val="18"/>
              </w:rPr>
            </w:pPr>
          </w:p>
        </w:tc>
        <w:tc>
          <w:tcPr>
            <w:tcW w:w="1240" w:type="dxa"/>
            <w:vMerge w:val="restart"/>
            <w:vAlign w:val="center"/>
          </w:tcPr>
          <w:p w14:paraId="02014115">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052A719D">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4855433E">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0D57A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616F23E">
            <w:pPr>
              <w:pStyle w:val="10"/>
              <w:adjustRightInd w:val="0"/>
              <w:snapToGrid w:val="0"/>
              <w:ind w:firstLine="0" w:firstLineChars="0"/>
              <w:jc w:val="center"/>
              <w:rPr>
                <w:rFonts w:hAnsi="宋体" w:cs="宋体"/>
                <w:sz w:val="18"/>
                <w:szCs w:val="18"/>
              </w:rPr>
            </w:pPr>
          </w:p>
        </w:tc>
        <w:tc>
          <w:tcPr>
            <w:tcW w:w="1240" w:type="dxa"/>
            <w:vMerge w:val="continue"/>
            <w:vAlign w:val="center"/>
          </w:tcPr>
          <w:p w14:paraId="695838D8">
            <w:pPr>
              <w:pStyle w:val="10"/>
              <w:adjustRightInd w:val="0"/>
              <w:snapToGrid w:val="0"/>
              <w:ind w:firstLine="0" w:firstLineChars="0"/>
              <w:rPr>
                <w:rFonts w:hAnsi="宋体" w:cs="宋体"/>
                <w:spacing w:val="10"/>
                <w:sz w:val="18"/>
                <w:szCs w:val="18"/>
              </w:rPr>
            </w:pPr>
          </w:p>
        </w:tc>
        <w:tc>
          <w:tcPr>
            <w:tcW w:w="5058" w:type="dxa"/>
            <w:vAlign w:val="center"/>
          </w:tcPr>
          <w:p w14:paraId="7889AE47">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54EFC4A4">
            <w:pPr>
              <w:pStyle w:val="10"/>
              <w:adjustRightInd w:val="0"/>
              <w:snapToGrid w:val="0"/>
              <w:ind w:firstLine="0" w:firstLineChars="0"/>
              <w:jc w:val="center"/>
              <w:rPr>
                <w:rFonts w:hAnsi="宋体" w:cs="宋体"/>
                <w:spacing w:val="10"/>
                <w:sz w:val="18"/>
                <w:szCs w:val="18"/>
              </w:rPr>
            </w:pPr>
          </w:p>
        </w:tc>
      </w:tr>
      <w:tr w14:paraId="46D28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5FAD5FD">
            <w:pPr>
              <w:pStyle w:val="10"/>
              <w:adjustRightInd w:val="0"/>
              <w:snapToGrid w:val="0"/>
              <w:ind w:firstLine="0" w:firstLineChars="0"/>
              <w:jc w:val="center"/>
              <w:rPr>
                <w:rFonts w:hAnsi="宋体" w:cs="宋体"/>
                <w:sz w:val="18"/>
                <w:szCs w:val="18"/>
              </w:rPr>
            </w:pPr>
          </w:p>
        </w:tc>
        <w:tc>
          <w:tcPr>
            <w:tcW w:w="1240" w:type="dxa"/>
            <w:vMerge w:val="continue"/>
            <w:vAlign w:val="center"/>
          </w:tcPr>
          <w:p w14:paraId="32F03F93">
            <w:pPr>
              <w:pStyle w:val="10"/>
              <w:adjustRightInd w:val="0"/>
              <w:snapToGrid w:val="0"/>
              <w:ind w:firstLine="0" w:firstLineChars="0"/>
              <w:rPr>
                <w:rFonts w:hAnsi="宋体" w:cs="宋体"/>
                <w:spacing w:val="10"/>
                <w:sz w:val="18"/>
                <w:szCs w:val="18"/>
              </w:rPr>
            </w:pPr>
          </w:p>
        </w:tc>
        <w:tc>
          <w:tcPr>
            <w:tcW w:w="5058" w:type="dxa"/>
            <w:vAlign w:val="center"/>
          </w:tcPr>
          <w:p w14:paraId="45C3BD33">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013E1C5B">
            <w:pPr>
              <w:pStyle w:val="10"/>
              <w:adjustRightInd w:val="0"/>
              <w:snapToGrid w:val="0"/>
              <w:ind w:firstLine="0" w:firstLineChars="0"/>
              <w:jc w:val="center"/>
              <w:rPr>
                <w:rFonts w:hAnsi="宋体" w:cs="宋体"/>
                <w:spacing w:val="10"/>
                <w:sz w:val="18"/>
                <w:szCs w:val="18"/>
              </w:rPr>
            </w:pPr>
          </w:p>
        </w:tc>
      </w:tr>
      <w:tr w14:paraId="7268D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5650DC1">
            <w:pPr>
              <w:pStyle w:val="10"/>
              <w:adjustRightInd w:val="0"/>
              <w:snapToGrid w:val="0"/>
              <w:ind w:firstLine="0" w:firstLineChars="0"/>
              <w:jc w:val="center"/>
              <w:rPr>
                <w:rFonts w:hAnsi="宋体" w:cs="宋体"/>
                <w:sz w:val="18"/>
                <w:szCs w:val="18"/>
              </w:rPr>
            </w:pPr>
          </w:p>
        </w:tc>
        <w:tc>
          <w:tcPr>
            <w:tcW w:w="1240" w:type="dxa"/>
            <w:vMerge w:val="restart"/>
            <w:vAlign w:val="center"/>
          </w:tcPr>
          <w:p w14:paraId="60CD6E17">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44056569">
            <w:pPr>
              <w:pStyle w:val="10"/>
              <w:adjustRightInd w:val="0"/>
              <w:snapToGrid w:val="0"/>
              <w:ind w:firstLine="0" w:firstLineChars="0"/>
              <w:rPr>
                <w:rFonts w:hAnsi="宋体" w:cs="宋体"/>
                <w:sz w:val="18"/>
                <w:szCs w:val="18"/>
              </w:rPr>
            </w:pPr>
            <w:r>
              <w:rPr>
                <w:rFonts w:hAnsi="宋体" w:cs="宋体"/>
                <w:sz w:val="18"/>
                <w:szCs w:val="18"/>
              </w:rPr>
              <w:t>假说 1的研究设计</w:t>
            </w:r>
          </w:p>
        </w:tc>
        <w:tc>
          <w:tcPr>
            <w:tcW w:w="1356" w:type="dxa"/>
            <w:vMerge w:val="continue"/>
            <w:vAlign w:val="center"/>
          </w:tcPr>
          <w:p w14:paraId="1E104D0E">
            <w:pPr>
              <w:pStyle w:val="10"/>
              <w:adjustRightInd w:val="0"/>
              <w:snapToGrid w:val="0"/>
              <w:ind w:firstLine="0" w:firstLineChars="0"/>
              <w:jc w:val="center"/>
              <w:rPr>
                <w:rFonts w:hAnsi="宋体" w:cs="宋体"/>
                <w:sz w:val="18"/>
                <w:szCs w:val="18"/>
              </w:rPr>
            </w:pPr>
          </w:p>
        </w:tc>
      </w:tr>
      <w:tr w14:paraId="7E2C2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B4FD5E1">
            <w:pPr>
              <w:pStyle w:val="10"/>
              <w:adjustRightInd w:val="0"/>
              <w:snapToGrid w:val="0"/>
              <w:ind w:firstLine="0" w:firstLineChars="0"/>
              <w:jc w:val="center"/>
              <w:rPr>
                <w:rFonts w:hAnsi="宋体" w:cs="宋体"/>
                <w:sz w:val="18"/>
                <w:szCs w:val="18"/>
              </w:rPr>
            </w:pPr>
          </w:p>
        </w:tc>
        <w:tc>
          <w:tcPr>
            <w:tcW w:w="1240" w:type="dxa"/>
            <w:vMerge w:val="continue"/>
            <w:vAlign w:val="center"/>
          </w:tcPr>
          <w:p w14:paraId="00CCDF1A">
            <w:pPr>
              <w:pStyle w:val="10"/>
              <w:adjustRightInd w:val="0"/>
              <w:snapToGrid w:val="0"/>
              <w:ind w:firstLine="0" w:firstLineChars="0"/>
              <w:rPr>
                <w:rFonts w:hAnsi="宋体" w:cs="宋体"/>
                <w:sz w:val="18"/>
                <w:szCs w:val="18"/>
              </w:rPr>
            </w:pPr>
          </w:p>
        </w:tc>
        <w:tc>
          <w:tcPr>
            <w:tcW w:w="5058" w:type="dxa"/>
            <w:vAlign w:val="center"/>
          </w:tcPr>
          <w:p w14:paraId="4E978B10">
            <w:pPr>
              <w:pStyle w:val="10"/>
              <w:adjustRightInd w:val="0"/>
              <w:snapToGrid w:val="0"/>
              <w:ind w:firstLine="0" w:firstLineChars="0"/>
              <w:rPr>
                <w:rFonts w:hAnsi="宋体" w:cs="宋体"/>
                <w:sz w:val="18"/>
                <w:szCs w:val="18"/>
              </w:rPr>
            </w:pPr>
            <w:r>
              <w:rPr>
                <w:rFonts w:hAnsi="宋体" w:cs="宋体"/>
                <w:sz w:val="18"/>
                <w:szCs w:val="18"/>
              </w:rPr>
              <w:t>假说 2的研究设计</w:t>
            </w:r>
          </w:p>
        </w:tc>
        <w:tc>
          <w:tcPr>
            <w:tcW w:w="1356" w:type="dxa"/>
            <w:vMerge w:val="continue"/>
            <w:vAlign w:val="center"/>
          </w:tcPr>
          <w:p w14:paraId="26BEBB82">
            <w:pPr>
              <w:pStyle w:val="10"/>
              <w:adjustRightInd w:val="0"/>
              <w:snapToGrid w:val="0"/>
              <w:ind w:firstLine="0" w:firstLineChars="0"/>
              <w:jc w:val="center"/>
              <w:rPr>
                <w:rFonts w:hAnsi="宋体" w:cs="宋体"/>
                <w:sz w:val="18"/>
                <w:szCs w:val="18"/>
              </w:rPr>
            </w:pPr>
          </w:p>
        </w:tc>
      </w:tr>
      <w:tr w14:paraId="25FCB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01CF5CE">
            <w:pPr>
              <w:pStyle w:val="10"/>
              <w:adjustRightInd w:val="0"/>
              <w:snapToGrid w:val="0"/>
              <w:ind w:firstLine="0" w:firstLineChars="0"/>
              <w:jc w:val="center"/>
              <w:rPr>
                <w:rFonts w:hAnsi="宋体" w:cs="宋体"/>
                <w:sz w:val="18"/>
                <w:szCs w:val="18"/>
              </w:rPr>
            </w:pPr>
          </w:p>
        </w:tc>
        <w:tc>
          <w:tcPr>
            <w:tcW w:w="1240" w:type="dxa"/>
            <w:vMerge w:val="continue"/>
            <w:vAlign w:val="center"/>
          </w:tcPr>
          <w:p w14:paraId="720E8D9D">
            <w:pPr>
              <w:pStyle w:val="10"/>
              <w:adjustRightInd w:val="0"/>
              <w:snapToGrid w:val="0"/>
              <w:ind w:firstLine="0" w:firstLineChars="0"/>
              <w:rPr>
                <w:rFonts w:hAnsi="宋体" w:cs="宋体"/>
                <w:sz w:val="18"/>
                <w:szCs w:val="18"/>
              </w:rPr>
            </w:pPr>
          </w:p>
        </w:tc>
        <w:tc>
          <w:tcPr>
            <w:tcW w:w="5058" w:type="dxa"/>
            <w:vAlign w:val="center"/>
          </w:tcPr>
          <w:p w14:paraId="335BBF91">
            <w:pPr>
              <w:pStyle w:val="10"/>
              <w:adjustRightInd w:val="0"/>
              <w:snapToGrid w:val="0"/>
              <w:ind w:firstLine="0" w:firstLineChars="0"/>
              <w:rPr>
                <w:rFonts w:hAnsi="宋体" w:cs="宋体"/>
                <w:sz w:val="18"/>
                <w:szCs w:val="18"/>
              </w:rPr>
            </w:pPr>
            <w:r>
              <w:rPr>
                <w:rFonts w:hAnsi="宋体" w:cs="宋体"/>
                <w:sz w:val="18"/>
                <w:szCs w:val="18"/>
                <w:lang w:bidi="ar"/>
              </w:rPr>
              <w:t>内生性处理一：工具变量法</w:t>
            </w:r>
          </w:p>
        </w:tc>
        <w:tc>
          <w:tcPr>
            <w:tcW w:w="1356" w:type="dxa"/>
            <w:vMerge w:val="continue"/>
            <w:vAlign w:val="center"/>
          </w:tcPr>
          <w:p w14:paraId="61D0E561">
            <w:pPr>
              <w:pStyle w:val="10"/>
              <w:adjustRightInd w:val="0"/>
              <w:snapToGrid w:val="0"/>
              <w:ind w:firstLine="0" w:firstLineChars="0"/>
              <w:jc w:val="center"/>
              <w:rPr>
                <w:rFonts w:hAnsi="宋体" w:cs="宋体"/>
                <w:sz w:val="18"/>
                <w:szCs w:val="18"/>
              </w:rPr>
            </w:pPr>
          </w:p>
        </w:tc>
      </w:tr>
      <w:tr w14:paraId="704C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A8F3DF9">
            <w:pPr>
              <w:pStyle w:val="10"/>
              <w:adjustRightInd w:val="0"/>
              <w:snapToGrid w:val="0"/>
              <w:ind w:firstLine="0" w:firstLineChars="0"/>
              <w:jc w:val="center"/>
              <w:rPr>
                <w:rFonts w:hAnsi="宋体" w:cs="宋体"/>
                <w:sz w:val="18"/>
                <w:szCs w:val="18"/>
              </w:rPr>
            </w:pPr>
          </w:p>
        </w:tc>
        <w:tc>
          <w:tcPr>
            <w:tcW w:w="1240" w:type="dxa"/>
            <w:vMerge w:val="continue"/>
            <w:vAlign w:val="center"/>
          </w:tcPr>
          <w:p w14:paraId="1449601D">
            <w:pPr>
              <w:pStyle w:val="10"/>
              <w:adjustRightInd w:val="0"/>
              <w:snapToGrid w:val="0"/>
              <w:ind w:firstLine="0" w:firstLineChars="0"/>
              <w:rPr>
                <w:rFonts w:hAnsi="宋体" w:cs="宋体"/>
                <w:sz w:val="18"/>
                <w:szCs w:val="18"/>
              </w:rPr>
            </w:pPr>
          </w:p>
        </w:tc>
        <w:tc>
          <w:tcPr>
            <w:tcW w:w="5058" w:type="dxa"/>
            <w:vAlign w:val="center"/>
          </w:tcPr>
          <w:p w14:paraId="5DF8E62A">
            <w:pPr>
              <w:pStyle w:val="10"/>
              <w:adjustRightInd w:val="0"/>
              <w:snapToGrid w:val="0"/>
              <w:ind w:firstLine="0" w:firstLineChars="0"/>
              <w:rPr>
                <w:rFonts w:hAnsi="宋体" w:cs="宋体"/>
                <w:sz w:val="18"/>
                <w:szCs w:val="18"/>
              </w:rPr>
            </w:pPr>
            <w:r>
              <w:rPr>
                <w:rFonts w:hAnsi="宋体" w:cs="宋体"/>
                <w:sz w:val="18"/>
                <w:szCs w:val="18"/>
              </w:rPr>
              <w:t>内生性处理二：动态面板 GMM 估计</w:t>
            </w:r>
          </w:p>
        </w:tc>
        <w:tc>
          <w:tcPr>
            <w:tcW w:w="1356" w:type="dxa"/>
            <w:vMerge w:val="continue"/>
            <w:vAlign w:val="center"/>
          </w:tcPr>
          <w:p w14:paraId="30A2CADA">
            <w:pPr>
              <w:pStyle w:val="10"/>
              <w:adjustRightInd w:val="0"/>
              <w:snapToGrid w:val="0"/>
              <w:ind w:firstLine="0" w:firstLineChars="0"/>
              <w:jc w:val="center"/>
              <w:rPr>
                <w:rFonts w:hAnsi="宋体" w:cs="宋体"/>
                <w:sz w:val="18"/>
                <w:szCs w:val="18"/>
              </w:rPr>
            </w:pPr>
          </w:p>
        </w:tc>
      </w:tr>
      <w:tr w14:paraId="04826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DA4BFD8">
            <w:pPr>
              <w:pStyle w:val="10"/>
              <w:adjustRightInd w:val="0"/>
              <w:snapToGrid w:val="0"/>
              <w:ind w:firstLine="0" w:firstLineChars="0"/>
              <w:jc w:val="center"/>
              <w:rPr>
                <w:rFonts w:hAnsi="宋体" w:cs="宋体"/>
                <w:sz w:val="18"/>
                <w:szCs w:val="18"/>
              </w:rPr>
            </w:pPr>
          </w:p>
        </w:tc>
        <w:tc>
          <w:tcPr>
            <w:tcW w:w="1240" w:type="dxa"/>
            <w:vMerge w:val="continue"/>
            <w:vAlign w:val="center"/>
          </w:tcPr>
          <w:p w14:paraId="44609384">
            <w:pPr>
              <w:pStyle w:val="10"/>
              <w:adjustRightInd w:val="0"/>
              <w:snapToGrid w:val="0"/>
              <w:ind w:firstLine="0" w:firstLineChars="0"/>
              <w:rPr>
                <w:rFonts w:hAnsi="宋体" w:cs="宋体"/>
                <w:sz w:val="18"/>
                <w:szCs w:val="18"/>
              </w:rPr>
            </w:pPr>
          </w:p>
        </w:tc>
        <w:tc>
          <w:tcPr>
            <w:tcW w:w="5058" w:type="dxa"/>
            <w:vAlign w:val="center"/>
          </w:tcPr>
          <w:p w14:paraId="480804D2">
            <w:pPr>
              <w:pStyle w:val="10"/>
              <w:adjustRightInd w:val="0"/>
              <w:snapToGrid w:val="0"/>
              <w:ind w:firstLine="0" w:firstLineChars="0"/>
              <w:rPr>
                <w:rFonts w:hAnsi="宋体" w:cs="宋体"/>
                <w:sz w:val="18"/>
                <w:szCs w:val="18"/>
              </w:rPr>
            </w:pPr>
            <w:r>
              <w:rPr>
                <w:rFonts w:hAnsi="宋体" w:cs="宋体"/>
                <w:sz w:val="18"/>
                <w:szCs w:val="18"/>
              </w:rPr>
              <w:t>内生性处理三：滞后一期回归</w:t>
            </w:r>
          </w:p>
        </w:tc>
        <w:tc>
          <w:tcPr>
            <w:tcW w:w="1356" w:type="dxa"/>
            <w:vMerge w:val="continue"/>
            <w:vAlign w:val="center"/>
          </w:tcPr>
          <w:p w14:paraId="76ADCC45">
            <w:pPr>
              <w:pStyle w:val="10"/>
              <w:adjustRightInd w:val="0"/>
              <w:snapToGrid w:val="0"/>
              <w:ind w:firstLine="0" w:firstLineChars="0"/>
              <w:jc w:val="center"/>
              <w:rPr>
                <w:rFonts w:hAnsi="宋体" w:cs="宋体"/>
                <w:sz w:val="18"/>
                <w:szCs w:val="18"/>
              </w:rPr>
            </w:pPr>
          </w:p>
        </w:tc>
      </w:tr>
      <w:tr w14:paraId="1B90B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9B864D2">
            <w:pPr>
              <w:pStyle w:val="10"/>
              <w:adjustRightInd w:val="0"/>
              <w:snapToGrid w:val="0"/>
              <w:ind w:firstLine="0" w:firstLineChars="0"/>
              <w:jc w:val="center"/>
              <w:rPr>
                <w:rFonts w:hAnsi="宋体" w:cs="宋体"/>
                <w:sz w:val="18"/>
                <w:szCs w:val="18"/>
              </w:rPr>
            </w:pPr>
          </w:p>
        </w:tc>
        <w:tc>
          <w:tcPr>
            <w:tcW w:w="1240" w:type="dxa"/>
            <w:vMerge w:val="continue"/>
            <w:vAlign w:val="center"/>
          </w:tcPr>
          <w:p w14:paraId="520092DF">
            <w:pPr>
              <w:pStyle w:val="10"/>
              <w:adjustRightInd w:val="0"/>
              <w:snapToGrid w:val="0"/>
              <w:ind w:firstLine="0" w:firstLineChars="0"/>
              <w:rPr>
                <w:rFonts w:hAnsi="宋体" w:cs="宋体"/>
                <w:sz w:val="18"/>
                <w:szCs w:val="18"/>
              </w:rPr>
            </w:pPr>
          </w:p>
        </w:tc>
        <w:tc>
          <w:tcPr>
            <w:tcW w:w="5058" w:type="dxa"/>
            <w:vAlign w:val="center"/>
          </w:tcPr>
          <w:p w14:paraId="7B0F52E5">
            <w:pPr>
              <w:pStyle w:val="10"/>
              <w:adjustRightInd w:val="0"/>
              <w:snapToGrid w:val="0"/>
              <w:ind w:firstLine="0" w:firstLineChars="0"/>
              <w:rPr>
                <w:rFonts w:hAnsi="宋体" w:cs="宋体"/>
                <w:sz w:val="18"/>
                <w:szCs w:val="18"/>
              </w:rPr>
            </w:pPr>
            <w:r>
              <w:rPr>
                <w:rFonts w:hAnsi="宋体" w:cs="宋体"/>
                <w:sz w:val="18"/>
                <w:szCs w:val="18"/>
              </w:rPr>
              <w:t>稳健性检验</w:t>
            </w:r>
          </w:p>
        </w:tc>
        <w:tc>
          <w:tcPr>
            <w:tcW w:w="1356" w:type="dxa"/>
            <w:vMerge w:val="continue"/>
            <w:vAlign w:val="center"/>
          </w:tcPr>
          <w:p w14:paraId="15EC0BE3">
            <w:pPr>
              <w:pStyle w:val="10"/>
              <w:adjustRightInd w:val="0"/>
              <w:snapToGrid w:val="0"/>
              <w:ind w:firstLine="0" w:firstLineChars="0"/>
              <w:jc w:val="center"/>
              <w:rPr>
                <w:rFonts w:hAnsi="宋体" w:cs="宋体"/>
                <w:sz w:val="18"/>
                <w:szCs w:val="18"/>
              </w:rPr>
            </w:pPr>
          </w:p>
        </w:tc>
      </w:tr>
      <w:tr w14:paraId="57D56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ADB00CF">
            <w:pPr>
              <w:pStyle w:val="10"/>
              <w:adjustRightInd w:val="0"/>
              <w:snapToGrid w:val="0"/>
              <w:ind w:firstLine="0" w:firstLineChars="0"/>
              <w:jc w:val="center"/>
              <w:rPr>
                <w:rFonts w:hAnsi="宋体" w:cs="宋体"/>
                <w:sz w:val="18"/>
                <w:szCs w:val="18"/>
              </w:rPr>
            </w:pPr>
          </w:p>
        </w:tc>
        <w:tc>
          <w:tcPr>
            <w:tcW w:w="1240" w:type="dxa"/>
            <w:vMerge w:val="continue"/>
            <w:vAlign w:val="center"/>
          </w:tcPr>
          <w:p w14:paraId="5EBAD299">
            <w:pPr>
              <w:pStyle w:val="10"/>
              <w:adjustRightInd w:val="0"/>
              <w:snapToGrid w:val="0"/>
              <w:ind w:firstLine="0" w:firstLineChars="0"/>
              <w:rPr>
                <w:rFonts w:hAnsi="宋体" w:cs="宋体"/>
                <w:sz w:val="18"/>
                <w:szCs w:val="18"/>
              </w:rPr>
            </w:pPr>
          </w:p>
        </w:tc>
        <w:tc>
          <w:tcPr>
            <w:tcW w:w="5058" w:type="dxa"/>
            <w:vAlign w:val="center"/>
          </w:tcPr>
          <w:p w14:paraId="402E29C6">
            <w:pPr>
              <w:pStyle w:val="10"/>
              <w:adjustRightInd w:val="0"/>
              <w:snapToGrid w:val="0"/>
              <w:ind w:firstLine="0" w:firstLineChars="0"/>
              <w:rPr>
                <w:rFonts w:hAnsi="宋体" w:cs="宋体"/>
                <w:sz w:val="18"/>
                <w:szCs w:val="18"/>
              </w:rPr>
            </w:pPr>
            <w:r>
              <w:rPr>
                <w:rFonts w:hAnsi="宋体" w:cs="宋体"/>
                <w:sz w:val="18"/>
                <w:szCs w:val="18"/>
              </w:rPr>
              <w:t>不同数字化转型路径对信贷配置的影响</w:t>
            </w:r>
          </w:p>
        </w:tc>
        <w:tc>
          <w:tcPr>
            <w:tcW w:w="1356" w:type="dxa"/>
            <w:vMerge w:val="continue"/>
            <w:vAlign w:val="center"/>
          </w:tcPr>
          <w:p w14:paraId="460563E0">
            <w:pPr>
              <w:pStyle w:val="10"/>
              <w:adjustRightInd w:val="0"/>
              <w:snapToGrid w:val="0"/>
              <w:ind w:firstLine="0" w:firstLineChars="0"/>
              <w:jc w:val="center"/>
              <w:rPr>
                <w:rFonts w:hAnsi="宋体" w:cs="宋体"/>
                <w:sz w:val="18"/>
                <w:szCs w:val="18"/>
              </w:rPr>
            </w:pPr>
          </w:p>
        </w:tc>
      </w:tr>
      <w:tr w14:paraId="22015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095C49C">
            <w:pPr>
              <w:pStyle w:val="10"/>
              <w:adjustRightInd w:val="0"/>
              <w:snapToGrid w:val="0"/>
              <w:ind w:firstLine="0" w:firstLineChars="0"/>
              <w:jc w:val="center"/>
              <w:rPr>
                <w:rFonts w:hAnsi="宋体" w:cs="宋体"/>
                <w:sz w:val="18"/>
                <w:szCs w:val="18"/>
              </w:rPr>
            </w:pPr>
          </w:p>
        </w:tc>
        <w:tc>
          <w:tcPr>
            <w:tcW w:w="1240" w:type="dxa"/>
            <w:vMerge w:val="continue"/>
            <w:vAlign w:val="center"/>
          </w:tcPr>
          <w:p w14:paraId="7CA466CA">
            <w:pPr>
              <w:pStyle w:val="10"/>
              <w:adjustRightInd w:val="0"/>
              <w:snapToGrid w:val="0"/>
              <w:ind w:firstLine="0" w:firstLineChars="0"/>
              <w:rPr>
                <w:rFonts w:hAnsi="宋体" w:cs="宋体"/>
                <w:sz w:val="18"/>
                <w:szCs w:val="18"/>
              </w:rPr>
            </w:pPr>
          </w:p>
        </w:tc>
        <w:tc>
          <w:tcPr>
            <w:tcW w:w="5058" w:type="dxa"/>
            <w:vAlign w:val="center"/>
          </w:tcPr>
          <w:p w14:paraId="4A085695">
            <w:pPr>
              <w:pStyle w:val="10"/>
              <w:adjustRightInd w:val="0"/>
              <w:snapToGrid w:val="0"/>
              <w:ind w:firstLine="0" w:firstLineChars="0"/>
              <w:rPr>
                <w:rFonts w:hAnsi="宋体" w:cs="宋体"/>
                <w:sz w:val="18"/>
                <w:szCs w:val="18"/>
              </w:rPr>
            </w:pPr>
            <w:r>
              <w:rPr>
                <w:rFonts w:hAnsi="宋体" w:cs="宋体"/>
                <w:sz w:val="18"/>
                <w:szCs w:val="18"/>
              </w:rPr>
              <w:t>实体网点和在职员工总量对信贷配置的影响</w:t>
            </w:r>
          </w:p>
        </w:tc>
        <w:tc>
          <w:tcPr>
            <w:tcW w:w="1356" w:type="dxa"/>
            <w:vMerge w:val="continue"/>
            <w:vAlign w:val="center"/>
          </w:tcPr>
          <w:p w14:paraId="3CEE6E11">
            <w:pPr>
              <w:pStyle w:val="10"/>
              <w:adjustRightInd w:val="0"/>
              <w:snapToGrid w:val="0"/>
              <w:ind w:firstLine="0" w:firstLineChars="0"/>
              <w:jc w:val="center"/>
              <w:rPr>
                <w:rFonts w:hAnsi="宋体" w:cs="宋体"/>
                <w:sz w:val="18"/>
                <w:szCs w:val="18"/>
              </w:rPr>
            </w:pPr>
          </w:p>
        </w:tc>
      </w:tr>
      <w:tr w14:paraId="04F21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878FF88">
            <w:pPr>
              <w:pStyle w:val="10"/>
              <w:adjustRightInd w:val="0"/>
              <w:snapToGrid w:val="0"/>
              <w:ind w:firstLine="0" w:firstLineChars="0"/>
              <w:jc w:val="center"/>
              <w:rPr>
                <w:rFonts w:hAnsi="宋体" w:cs="宋体"/>
                <w:sz w:val="18"/>
                <w:szCs w:val="18"/>
              </w:rPr>
            </w:pPr>
          </w:p>
        </w:tc>
        <w:tc>
          <w:tcPr>
            <w:tcW w:w="1240" w:type="dxa"/>
            <w:vMerge w:val="continue"/>
            <w:vAlign w:val="center"/>
          </w:tcPr>
          <w:p w14:paraId="44EFDD1F">
            <w:pPr>
              <w:pStyle w:val="10"/>
              <w:adjustRightInd w:val="0"/>
              <w:snapToGrid w:val="0"/>
              <w:ind w:firstLine="0" w:firstLineChars="0"/>
              <w:rPr>
                <w:rFonts w:hAnsi="宋体" w:cs="宋体"/>
                <w:sz w:val="18"/>
                <w:szCs w:val="18"/>
              </w:rPr>
            </w:pPr>
          </w:p>
        </w:tc>
        <w:tc>
          <w:tcPr>
            <w:tcW w:w="5058" w:type="dxa"/>
            <w:vAlign w:val="center"/>
          </w:tcPr>
          <w:p w14:paraId="4102CA80">
            <w:pPr>
              <w:pStyle w:val="10"/>
              <w:adjustRightInd w:val="0"/>
              <w:snapToGrid w:val="0"/>
              <w:ind w:firstLine="0" w:firstLineChars="0"/>
              <w:rPr>
                <w:rFonts w:hAnsi="宋体" w:cs="宋体"/>
                <w:sz w:val="18"/>
                <w:szCs w:val="18"/>
              </w:rPr>
            </w:pPr>
            <w:r>
              <w:rPr>
                <w:rFonts w:hAnsi="宋体" w:cs="宋体"/>
                <w:sz w:val="18"/>
                <w:szCs w:val="18"/>
              </w:rPr>
              <w:t>经济周期和信贷周期对信贷配置的调节作用</w:t>
            </w:r>
          </w:p>
        </w:tc>
        <w:tc>
          <w:tcPr>
            <w:tcW w:w="1356" w:type="dxa"/>
            <w:vMerge w:val="continue"/>
            <w:vAlign w:val="center"/>
          </w:tcPr>
          <w:p w14:paraId="231F5AFB">
            <w:pPr>
              <w:pStyle w:val="10"/>
              <w:adjustRightInd w:val="0"/>
              <w:snapToGrid w:val="0"/>
              <w:ind w:firstLine="0" w:firstLineChars="0"/>
              <w:jc w:val="center"/>
              <w:rPr>
                <w:rFonts w:hAnsi="宋体" w:cs="宋体"/>
                <w:sz w:val="18"/>
                <w:szCs w:val="18"/>
              </w:rPr>
            </w:pPr>
          </w:p>
        </w:tc>
      </w:tr>
      <w:tr w14:paraId="23E03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6877A98">
            <w:pPr>
              <w:pStyle w:val="10"/>
              <w:adjustRightInd w:val="0"/>
              <w:snapToGrid w:val="0"/>
              <w:ind w:firstLine="0" w:firstLineChars="0"/>
              <w:jc w:val="center"/>
              <w:rPr>
                <w:rFonts w:hAnsi="宋体" w:cs="宋体"/>
                <w:sz w:val="18"/>
                <w:szCs w:val="18"/>
              </w:rPr>
            </w:pPr>
          </w:p>
        </w:tc>
        <w:tc>
          <w:tcPr>
            <w:tcW w:w="1240" w:type="dxa"/>
            <w:vMerge w:val="continue"/>
            <w:vAlign w:val="center"/>
          </w:tcPr>
          <w:p w14:paraId="26770DBC">
            <w:pPr>
              <w:pStyle w:val="10"/>
              <w:adjustRightInd w:val="0"/>
              <w:snapToGrid w:val="0"/>
              <w:ind w:firstLine="0" w:firstLineChars="0"/>
              <w:rPr>
                <w:rFonts w:hAnsi="宋体" w:cs="宋体"/>
                <w:sz w:val="18"/>
                <w:szCs w:val="18"/>
              </w:rPr>
            </w:pPr>
          </w:p>
        </w:tc>
        <w:tc>
          <w:tcPr>
            <w:tcW w:w="5058" w:type="dxa"/>
            <w:vAlign w:val="center"/>
          </w:tcPr>
          <w:p w14:paraId="4056AA15">
            <w:pPr>
              <w:pStyle w:val="10"/>
              <w:adjustRightInd w:val="0"/>
              <w:snapToGrid w:val="0"/>
              <w:ind w:firstLine="0" w:firstLineChars="0"/>
              <w:rPr>
                <w:rFonts w:hAnsi="宋体" w:cs="宋体"/>
                <w:sz w:val="18"/>
                <w:szCs w:val="18"/>
              </w:rPr>
            </w:pPr>
            <w:r>
              <w:rPr>
                <w:rFonts w:hAnsi="宋体" w:cs="宋体"/>
                <w:sz w:val="18"/>
                <w:szCs w:val="18"/>
              </w:rPr>
              <w:t>对银行特征的异质性分析</w:t>
            </w:r>
          </w:p>
        </w:tc>
        <w:tc>
          <w:tcPr>
            <w:tcW w:w="1356" w:type="dxa"/>
            <w:vMerge w:val="continue"/>
            <w:vAlign w:val="center"/>
          </w:tcPr>
          <w:p w14:paraId="57C7B7BA">
            <w:pPr>
              <w:pStyle w:val="10"/>
              <w:adjustRightInd w:val="0"/>
              <w:snapToGrid w:val="0"/>
              <w:ind w:firstLine="0" w:firstLineChars="0"/>
              <w:jc w:val="center"/>
              <w:rPr>
                <w:rFonts w:hAnsi="宋体" w:cs="宋体"/>
                <w:sz w:val="18"/>
                <w:szCs w:val="18"/>
              </w:rPr>
            </w:pPr>
          </w:p>
        </w:tc>
      </w:tr>
      <w:tr w14:paraId="0AE1A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C47464E">
            <w:pPr>
              <w:pStyle w:val="10"/>
              <w:adjustRightInd w:val="0"/>
              <w:snapToGrid w:val="0"/>
              <w:ind w:firstLine="0" w:firstLineChars="0"/>
              <w:jc w:val="center"/>
              <w:rPr>
                <w:rFonts w:hAnsi="宋体" w:cs="宋体"/>
                <w:sz w:val="18"/>
                <w:szCs w:val="18"/>
              </w:rPr>
            </w:pPr>
          </w:p>
        </w:tc>
        <w:tc>
          <w:tcPr>
            <w:tcW w:w="1240" w:type="dxa"/>
            <w:vMerge w:val="restart"/>
            <w:vAlign w:val="center"/>
          </w:tcPr>
          <w:p w14:paraId="05610897">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76932BD8">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0705F702">
            <w:pPr>
              <w:pStyle w:val="10"/>
              <w:adjustRightInd w:val="0"/>
              <w:snapToGrid w:val="0"/>
              <w:ind w:firstLine="0" w:firstLineChars="0"/>
              <w:jc w:val="center"/>
              <w:rPr>
                <w:rFonts w:hAnsi="宋体" w:cs="宋体"/>
                <w:sz w:val="18"/>
                <w:szCs w:val="18"/>
              </w:rPr>
            </w:pPr>
          </w:p>
        </w:tc>
      </w:tr>
      <w:tr w14:paraId="5A765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EAFA465">
            <w:pPr>
              <w:pStyle w:val="10"/>
              <w:adjustRightInd w:val="0"/>
              <w:snapToGrid w:val="0"/>
              <w:ind w:firstLine="0" w:firstLineChars="0"/>
              <w:jc w:val="center"/>
              <w:rPr>
                <w:rFonts w:hAnsi="宋体" w:cs="宋体"/>
                <w:sz w:val="18"/>
                <w:szCs w:val="18"/>
              </w:rPr>
            </w:pPr>
          </w:p>
        </w:tc>
        <w:tc>
          <w:tcPr>
            <w:tcW w:w="1240" w:type="dxa"/>
            <w:vMerge w:val="continue"/>
            <w:vAlign w:val="center"/>
          </w:tcPr>
          <w:p w14:paraId="034281B3">
            <w:pPr>
              <w:pStyle w:val="10"/>
              <w:adjustRightInd w:val="0"/>
              <w:snapToGrid w:val="0"/>
              <w:ind w:firstLine="0" w:firstLineChars="0"/>
              <w:rPr>
                <w:rFonts w:hAnsi="宋体" w:cs="宋体"/>
                <w:sz w:val="18"/>
                <w:szCs w:val="18"/>
              </w:rPr>
            </w:pPr>
          </w:p>
        </w:tc>
        <w:tc>
          <w:tcPr>
            <w:tcW w:w="5058" w:type="dxa"/>
            <w:vAlign w:val="center"/>
          </w:tcPr>
          <w:p w14:paraId="29765CB0">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固定效应模型</w:t>
            </w:r>
            <w:r>
              <w:rPr>
                <w:rFonts w:hAnsi="宋体" w:cs="宋体"/>
                <w:spacing w:val="10"/>
                <w:sz w:val="18"/>
                <w:szCs w:val="18"/>
              </w:rPr>
              <w:t>建模技巧与论文写作技巧</w:t>
            </w:r>
          </w:p>
        </w:tc>
        <w:tc>
          <w:tcPr>
            <w:tcW w:w="1356" w:type="dxa"/>
            <w:vMerge w:val="continue"/>
            <w:vAlign w:val="center"/>
          </w:tcPr>
          <w:p w14:paraId="3CCE894E">
            <w:pPr>
              <w:pStyle w:val="10"/>
              <w:adjustRightInd w:val="0"/>
              <w:snapToGrid w:val="0"/>
              <w:ind w:firstLine="0" w:firstLineChars="0"/>
              <w:jc w:val="center"/>
              <w:rPr>
                <w:rFonts w:hAnsi="宋体" w:cs="宋体"/>
                <w:sz w:val="18"/>
                <w:szCs w:val="18"/>
              </w:rPr>
            </w:pPr>
          </w:p>
        </w:tc>
      </w:tr>
    </w:tbl>
    <w:p w14:paraId="09DEEAF8">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3" w:name="_Toc6856"/>
      <w:r>
        <w:rPr>
          <w:rFonts w:hint="eastAsia" w:ascii="宋体" w:hAnsi="宋体" w:cs="宋体"/>
          <w:sz w:val="21"/>
          <w:szCs w:val="21"/>
        </w:rPr>
        <w:t>事件研究法（央行沟通公告有助于提升政策利率的传导效率吗）</w:t>
      </w:r>
      <w:bookmarkEnd w:id="33"/>
    </w:p>
    <w:p w14:paraId="47E8DFDE">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4BE13531">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w:t>
      </w:r>
      <w:r>
        <w:rPr>
          <w:rFonts w:hint="eastAsia" w:ascii="宋体" w:hAnsi="宋体" w:cs="宋体"/>
          <w:sz w:val="18"/>
          <w:szCs w:val="18"/>
          <w:lang w:bidi="ar"/>
        </w:rPr>
        <w:t>7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0D29F0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57" w:hRule="atLeast"/>
          <w:jc w:val="center"/>
        </w:trPr>
        <w:tc>
          <w:tcPr>
            <w:tcW w:w="1534" w:type="dxa"/>
            <w:vAlign w:val="center"/>
          </w:tcPr>
          <w:p w14:paraId="19C28812">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56EAEA43">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744746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1CF732CC">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52647E1F">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20DED7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6D58266F">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69C760F0">
            <w:pPr>
              <w:pStyle w:val="10"/>
              <w:adjustRightInd w:val="0"/>
              <w:snapToGrid w:val="0"/>
              <w:ind w:firstLine="0" w:firstLineChars="0"/>
              <w:jc w:val="left"/>
              <w:rPr>
                <w:rFonts w:hAnsi="宋体" w:cs="宋体"/>
                <w:sz w:val="18"/>
                <w:szCs w:val="18"/>
              </w:rPr>
            </w:pPr>
            <w:r>
              <w:rPr>
                <w:rFonts w:hAnsi="宋体" w:cs="宋体"/>
                <w:sz w:val="18"/>
                <w:szCs w:val="18"/>
              </w:rPr>
              <w:t>包含11份实训指导书、2个案例视频、5份数据、1份论文仿写设计报告模板。</w:t>
            </w:r>
          </w:p>
        </w:tc>
      </w:tr>
      <w:tr w14:paraId="576AD1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2005687C">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0A8625F5">
            <w:pPr>
              <w:pStyle w:val="10"/>
              <w:adjustRightInd w:val="0"/>
              <w:snapToGrid w:val="0"/>
              <w:ind w:firstLine="0" w:firstLineChars="0"/>
              <w:jc w:val="left"/>
              <w:rPr>
                <w:rFonts w:hAnsi="宋体" w:cs="宋体"/>
                <w:sz w:val="18"/>
                <w:szCs w:val="18"/>
              </w:rPr>
            </w:pPr>
            <w:r>
              <w:rPr>
                <w:rFonts w:hAnsi="宋体" w:cs="宋体"/>
                <w:sz w:val="18"/>
                <w:szCs w:val="18"/>
              </w:rPr>
              <w:t>高效掌握事件研究法建模技巧与论文写作技巧</w:t>
            </w:r>
          </w:p>
        </w:tc>
      </w:tr>
      <w:tr w14:paraId="73DE51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37EEC0D1">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5D67D835">
            <w:pPr>
              <w:pStyle w:val="10"/>
              <w:adjustRightInd w:val="0"/>
              <w:snapToGrid w:val="0"/>
              <w:ind w:firstLine="0" w:firstLineChars="0"/>
              <w:jc w:val="left"/>
              <w:rPr>
                <w:rFonts w:hAnsi="宋体" w:cs="宋体"/>
                <w:sz w:val="18"/>
                <w:szCs w:val="18"/>
              </w:rPr>
            </w:pPr>
            <w:r>
              <w:rPr>
                <w:rFonts w:hAnsi="宋体" w:cs="宋体"/>
                <w:sz w:val="18"/>
                <w:szCs w:val="18"/>
              </w:rPr>
              <w:t>央行沟通公告有助于提升政策利率的传导效率吗</w:t>
            </w:r>
          </w:p>
        </w:tc>
      </w:tr>
    </w:tbl>
    <w:p w14:paraId="32EE684D">
      <w:pPr>
        <w:adjustRightInd w:val="0"/>
        <w:snapToGrid w:val="0"/>
        <w:ind w:firstLine="420"/>
        <w:jc w:val="left"/>
        <w:rPr>
          <w:rFonts w:hint="eastAsia" w:ascii="宋体" w:hAnsi="宋体" w:cs="宋体"/>
          <w:sz w:val="21"/>
          <w:szCs w:val="21"/>
        </w:rPr>
      </w:pPr>
      <w:r>
        <w:rPr>
          <w:rFonts w:ascii="宋体" w:hAnsi="宋体" w:cs="宋体"/>
          <w:sz w:val="21"/>
          <w:szCs w:val="21"/>
        </w:rPr>
        <w:t>事件研究法（Event Study）是一种用于评估特定事件（如政策发布、企业并购、市场冲击等）对经济变量（如股价、收益率、企业绩效等）影响的计量经济学方法。其核心思想是通过比较事件发生前后的经济变量变化，识别事件的因果效应。</w:t>
      </w:r>
    </w:p>
    <w:p w14:paraId="7F243181">
      <w:pPr>
        <w:adjustRightInd w:val="0"/>
        <w:snapToGrid w:val="0"/>
        <w:ind w:firstLine="420"/>
        <w:jc w:val="left"/>
        <w:rPr>
          <w:rFonts w:hint="eastAsia" w:ascii="宋体" w:hAnsi="宋体" w:cs="宋体"/>
          <w:sz w:val="21"/>
          <w:szCs w:val="21"/>
        </w:rPr>
      </w:pPr>
      <w:r>
        <w:rPr>
          <w:rFonts w:hint="eastAsia" w:ascii="宋体" w:hAnsi="宋体" w:cs="宋体"/>
          <w:sz w:val="21"/>
          <w:szCs w:val="21"/>
        </w:rPr>
        <w:t>聚焦事件影响：通过对比事件前后的经济变量变化，识别事件的净效应。</w:t>
      </w:r>
    </w:p>
    <w:p w14:paraId="2A8C1268">
      <w:pPr>
        <w:adjustRightInd w:val="0"/>
        <w:snapToGrid w:val="0"/>
        <w:ind w:firstLine="420"/>
        <w:jc w:val="left"/>
        <w:rPr>
          <w:rFonts w:hint="eastAsia" w:ascii="宋体" w:hAnsi="宋体" w:cs="宋体"/>
          <w:sz w:val="21"/>
          <w:szCs w:val="21"/>
        </w:rPr>
      </w:pPr>
      <w:r>
        <w:rPr>
          <w:rFonts w:hint="eastAsia" w:ascii="宋体" w:hAnsi="宋体" w:cs="宋体"/>
          <w:sz w:val="21"/>
          <w:szCs w:val="21"/>
        </w:rPr>
        <w:t>灵活性：适用于多种事件类型（如政策发布、企业行为、市场冲击等）和经济变量（如股价、收益率、交易量等）。</w:t>
      </w:r>
    </w:p>
    <w:p w14:paraId="5AAAF306">
      <w:pPr>
        <w:adjustRightInd w:val="0"/>
        <w:snapToGrid w:val="0"/>
        <w:ind w:firstLine="420"/>
        <w:jc w:val="left"/>
        <w:rPr>
          <w:rFonts w:hint="eastAsia" w:ascii="宋体" w:hAnsi="宋体" w:cs="宋体"/>
          <w:sz w:val="21"/>
          <w:szCs w:val="21"/>
        </w:rPr>
      </w:pPr>
      <w:r>
        <w:rPr>
          <w:rFonts w:hint="eastAsia" w:ascii="宋体" w:hAnsi="宋体" w:cs="宋体"/>
          <w:sz w:val="21"/>
          <w:szCs w:val="21"/>
        </w:rPr>
        <w:t>可视化强：通过绘制异常收益或累计异常收益的时间序列图，直观展示事件影响。</w:t>
      </w:r>
    </w:p>
    <w:p w14:paraId="6B3A25D0">
      <w:pPr>
        <w:adjustRightInd w:val="0"/>
        <w:snapToGrid w:val="0"/>
        <w:ind w:firstLine="420"/>
        <w:jc w:val="left"/>
        <w:rPr>
          <w:rFonts w:hint="eastAsia" w:ascii="宋体" w:hAnsi="宋体" w:cs="宋体"/>
          <w:sz w:val="21"/>
          <w:szCs w:val="21"/>
        </w:rPr>
      </w:pPr>
      <w:r>
        <w:rPr>
          <w:rFonts w:hint="eastAsia" w:ascii="宋体" w:hAnsi="宋体" w:cs="宋体"/>
          <w:sz w:val="21"/>
          <w:szCs w:val="21"/>
        </w:rPr>
        <w:t>事件研究法是一种强大的工具，适用于评估特定事件对经济变量的影响，尤其在金融市场研究、政策效果评估、企业行为分析等领域具有重要应用价值。在实际应用中，需合理选择事件窗口、估计正常收益，并通过统计检验和稳健性分析确保结果的可靠性。</w:t>
      </w:r>
    </w:p>
    <w:p w14:paraId="163EA666">
      <w:pPr>
        <w:pStyle w:val="2"/>
        <w:ind w:left="0" w:leftChars="0" w:firstLine="0" w:firstLineChars="0"/>
        <w:rPr>
          <w:rFonts w:hint="eastAsia"/>
        </w:rPr>
      </w:pPr>
      <w:r>
        <w:drawing>
          <wp:inline distT="0" distB="0" distL="114300" distR="114300">
            <wp:extent cx="5261610" cy="3598545"/>
            <wp:effectExtent l="0" t="0" r="889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0"/>
                    <a:stretch>
                      <a:fillRect/>
                    </a:stretch>
                  </pic:blipFill>
                  <pic:spPr>
                    <a:xfrm>
                      <a:off x="0" y="0"/>
                      <a:ext cx="5261610" cy="3598545"/>
                    </a:xfrm>
                    <a:prstGeom prst="rect">
                      <a:avLst/>
                    </a:prstGeom>
                    <a:noFill/>
                    <a:ln>
                      <a:noFill/>
                    </a:ln>
                  </pic:spPr>
                </pic:pic>
              </a:graphicData>
            </a:graphic>
          </wp:inline>
        </w:drawing>
      </w:r>
    </w:p>
    <w:p w14:paraId="30C98756">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3E59C1F0">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8 事件研究法（央行沟通公告有助于提升政策利率的传导效率吗）</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27F3E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1471E9E9">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71273B53">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091BDB63">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0CBC1EBD">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638D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53F8E969">
            <w:pPr>
              <w:pStyle w:val="10"/>
              <w:adjustRightInd w:val="0"/>
              <w:snapToGrid w:val="0"/>
              <w:ind w:firstLine="0" w:firstLineChars="0"/>
              <w:jc w:val="center"/>
              <w:rPr>
                <w:rFonts w:hAnsi="宋体" w:cs="宋体"/>
                <w:sz w:val="18"/>
                <w:szCs w:val="18"/>
              </w:rPr>
            </w:pPr>
          </w:p>
          <w:p w14:paraId="0F1F4ED8">
            <w:pPr>
              <w:pStyle w:val="10"/>
              <w:adjustRightInd w:val="0"/>
              <w:snapToGrid w:val="0"/>
              <w:ind w:firstLine="0" w:firstLineChars="0"/>
              <w:jc w:val="center"/>
              <w:rPr>
                <w:rFonts w:hAnsi="宋体" w:cs="宋体"/>
                <w:sz w:val="18"/>
                <w:szCs w:val="18"/>
              </w:rPr>
            </w:pPr>
            <w:r>
              <w:rPr>
                <w:rFonts w:hAnsi="宋体" w:cs="宋体"/>
                <w:sz w:val="18"/>
                <w:szCs w:val="18"/>
                <w:lang w:bidi="ar"/>
              </w:rPr>
              <w:t>事件研究法（央行沟通公告有助于提升政策利率的传导效率吗）</w:t>
            </w:r>
          </w:p>
        </w:tc>
        <w:tc>
          <w:tcPr>
            <w:tcW w:w="1240" w:type="dxa"/>
            <w:vMerge w:val="restart"/>
            <w:vAlign w:val="center"/>
          </w:tcPr>
          <w:p w14:paraId="3F2064F3">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58CD85C2">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5F914841">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1BBE6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1B9E282">
            <w:pPr>
              <w:pStyle w:val="10"/>
              <w:adjustRightInd w:val="0"/>
              <w:snapToGrid w:val="0"/>
              <w:ind w:firstLine="0" w:firstLineChars="0"/>
              <w:jc w:val="center"/>
              <w:rPr>
                <w:rFonts w:hAnsi="宋体" w:cs="宋体"/>
                <w:sz w:val="18"/>
                <w:szCs w:val="18"/>
              </w:rPr>
            </w:pPr>
          </w:p>
        </w:tc>
        <w:tc>
          <w:tcPr>
            <w:tcW w:w="1240" w:type="dxa"/>
            <w:vMerge w:val="continue"/>
            <w:vAlign w:val="center"/>
          </w:tcPr>
          <w:p w14:paraId="633373C9">
            <w:pPr>
              <w:pStyle w:val="10"/>
              <w:adjustRightInd w:val="0"/>
              <w:snapToGrid w:val="0"/>
              <w:ind w:firstLine="0" w:firstLineChars="0"/>
              <w:rPr>
                <w:rFonts w:hAnsi="宋体" w:cs="宋体"/>
                <w:spacing w:val="10"/>
                <w:sz w:val="18"/>
                <w:szCs w:val="18"/>
              </w:rPr>
            </w:pPr>
          </w:p>
        </w:tc>
        <w:tc>
          <w:tcPr>
            <w:tcW w:w="5058" w:type="dxa"/>
            <w:vAlign w:val="center"/>
          </w:tcPr>
          <w:p w14:paraId="47EDC8B3">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08395D56">
            <w:pPr>
              <w:pStyle w:val="10"/>
              <w:adjustRightInd w:val="0"/>
              <w:snapToGrid w:val="0"/>
              <w:ind w:firstLine="0" w:firstLineChars="0"/>
              <w:jc w:val="center"/>
              <w:rPr>
                <w:rFonts w:hAnsi="宋体" w:cs="宋体"/>
                <w:spacing w:val="10"/>
                <w:sz w:val="18"/>
                <w:szCs w:val="18"/>
              </w:rPr>
            </w:pPr>
          </w:p>
        </w:tc>
      </w:tr>
      <w:tr w14:paraId="5025E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336D2D2">
            <w:pPr>
              <w:pStyle w:val="10"/>
              <w:adjustRightInd w:val="0"/>
              <w:snapToGrid w:val="0"/>
              <w:ind w:firstLine="0" w:firstLineChars="0"/>
              <w:jc w:val="center"/>
              <w:rPr>
                <w:rFonts w:hAnsi="宋体" w:cs="宋体"/>
                <w:sz w:val="18"/>
                <w:szCs w:val="18"/>
              </w:rPr>
            </w:pPr>
          </w:p>
        </w:tc>
        <w:tc>
          <w:tcPr>
            <w:tcW w:w="1240" w:type="dxa"/>
            <w:vMerge w:val="continue"/>
            <w:vAlign w:val="center"/>
          </w:tcPr>
          <w:p w14:paraId="1942BADA">
            <w:pPr>
              <w:pStyle w:val="10"/>
              <w:adjustRightInd w:val="0"/>
              <w:snapToGrid w:val="0"/>
              <w:ind w:firstLine="0" w:firstLineChars="0"/>
              <w:rPr>
                <w:rFonts w:hAnsi="宋体" w:cs="宋体"/>
                <w:spacing w:val="10"/>
                <w:sz w:val="18"/>
                <w:szCs w:val="18"/>
              </w:rPr>
            </w:pPr>
          </w:p>
        </w:tc>
        <w:tc>
          <w:tcPr>
            <w:tcW w:w="5058" w:type="dxa"/>
            <w:vAlign w:val="center"/>
          </w:tcPr>
          <w:p w14:paraId="3006FAB6">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16CCF6D4">
            <w:pPr>
              <w:pStyle w:val="10"/>
              <w:adjustRightInd w:val="0"/>
              <w:snapToGrid w:val="0"/>
              <w:ind w:firstLine="0" w:firstLineChars="0"/>
              <w:jc w:val="center"/>
              <w:rPr>
                <w:rFonts w:hAnsi="宋体" w:cs="宋体"/>
                <w:spacing w:val="10"/>
                <w:sz w:val="18"/>
                <w:szCs w:val="18"/>
              </w:rPr>
            </w:pPr>
          </w:p>
        </w:tc>
      </w:tr>
      <w:tr w14:paraId="1AFB8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A0C4A21">
            <w:pPr>
              <w:pStyle w:val="10"/>
              <w:adjustRightInd w:val="0"/>
              <w:snapToGrid w:val="0"/>
              <w:ind w:firstLine="0" w:firstLineChars="0"/>
              <w:jc w:val="center"/>
              <w:rPr>
                <w:rFonts w:hAnsi="宋体" w:cs="宋体"/>
                <w:sz w:val="18"/>
                <w:szCs w:val="18"/>
              </w:rPr>
            </w:pPr>
          </w:p>
        </w:tc>
        <w:tc>
          <w:tcPr>
            <w:tcW w:w="1240" w:type="dxa"/>
            <w:vMerge w:val="restart"/>
            <w:vAlign w:val="center"/>
          </w:tcPr>
          <w:p w14:paraId="2484BA91">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12F619B5">
            <w:pPr>
              <w:pStyle w:val="10"/>
              <w:adjustRightInd w:val="0"/>
              <w:snapToGrid w:val="0"/>
              <w:ind w:firstLine="0" w:firstLineChars="0"/>
              <w:rPr>
                <w:rFonts w:hAnsi="宋体" w:cs="宋体"/>
                <w:sz w:val="18"/>
                <w:szCs w:val="18"/>
              </w:rPr>
            </w:pPr>
            <w:r>
              <w:rPr>
                <w:rFonts w:hAnsi="宋体" w:cs="宋体"/>
                <w:sz w:val="18"/>
                <w:szCs w:val="18"/>
              </w:rPr>
              <w:t>数据描述性统计</w:t>
            </w:r>
          </w:p>
        </w:tc>
        <w:tc>
          <w:tcPr>
            <w:tcW w:w="1356" w:type="dxa"/>
            <w:vMerge w:val="continue"/>
            <w:vAlign w:val="center"/>
          </w:tcPr>
          <w:p w14:paraId="0644DDBE">
            <w:pPr>
              <w:pStyle w:val="10"/>
              <w:adjustRightInd w:val="0"/>
              <w:snapToGrid w:val="0"/>
              <w:ind w:firstLine="0" w:firstLineChars="0"/>
              <w:jc w:val="center"/>
              <w:rPr>
                <w:rFonts w:hAnsi="宋体" w:cs="宋体"/>
                <w:sz w:val="18"/>
                <w:szCs w:val="18"/>
              </w:rPr>
            </w:pPr>
          </w:p>
        </w:tc>
      </w:tr>
      <w:tr w14:paraId="208B9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DE58981">
            <w:pPr>
              <w:pStyle w:val="10"/>
              <w:adjustRightInd w:val="0"/>
              <w:snapToGrid w:val="0"/>
              <w:ind w:firstLine="0" w:firstLineChars="0"/>
              <w:jc w:val="center"/>
              <w:rPr>
                <w:rFonts w:hAnsi="宋体" w:cs="宋体"/>
                <w:sz w:val="18"/>
                <w:szCs w:val="18"/>
              </w:rPr>
            </w:pPr>
          </w:p>
        </w:tc>
        <w:tc>
          <w:tcPr>
            <w:tcW w:w="1240" w:type="dxa"/>
            <w:vMerge w:val="continue"/>
            <w:vAlign w:val="center"/>
          </w:tcPr>
          <w:p w14:paraId="29D9005E">
            <w:pPr>
              <w:pStyle w:val="10"/>
              <w:adjustRightInd w:val="0"/>
              <w:snapToGrid w:val="0"/>
              <w:ind w:firstLine="0" w:firstLineChars="0"/>
              <w:rPr>
                <w:rFonts w:hAnsi="宋体" w:cs="宋体"/>
                <w:sz w:val="18"/>
                <w:szCs w:val="18"/>
              </w:rPr>
            </w:pPr>
          </w:p>
        </w:tc>
        <w:tc>
          <w:tcPr>
            <w:tcW w:w="5058" w:type="dxa"/>
            <w:vAlign w:val="center"/>
          </w:tcPr>
          <w:p w14:paraId="04EFDC36">
            <w:pPr>
              <w:pStyle w:val="10"/>
              <w:adjustRightInd w:val="0"/>
              <w:snapToGrid w:val="0"/>
              <w:ind w:firstLine="0" w:firstLineChars="0"/>
              <w:rPr>
                <w:rFonts w:hAnsi="宋体" w:cs="宋体"/>
                <w:sz w:val="18"/>
                <w:szCs w:val="18"/>
              </w:rPr>
            </w:pPr>
            <w:r>
              <w:rPr>
                <w:rFonts w:hAnsi="宋体" w:cs="宋体"/>
                <w:sz w:val="18"/>
                <w:szCs w:val="18"/>
              </w:rPr>
              <w:t>央行沟通公告对政策利率传导效率的影响</w:t>
            </w:r>
          </w:p>
        </w:tc>
        <w:tc>
          <w:tcPr>
            <w:tcW w:w="1356" w:type="dxa"/>
            <w:vMerge w:val="continue"/>
            <w:vAlign w:val="center"/>
          </w:tcPr>
          <w:p w14:paraId="00DFB0BA">
            <w:pPr>
              <w:pStyle w:val="10"/>
              <w:adjustRightInd w:val="0"/>
              <w:snapToGrid w:val="0"/>
              <w:ind w:firstLine="0" w:firstLineChars="0"/>
              <w:jc w:val="center"/>
              <w:rPr>
                <w:rFonts w:hAnsi="宋体" w:cs="宋体"/>
                <w:sz w:val="18"/>
                <w:szCs w:val="18"/>
              </w:rPr>
            </w:pPr>
          </w:p>
        </w:tc>
      </w:tr>
      <w:tr w14:paraId="2245B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52EDE04">
            <w:pPr>
              <w:pStyle w:val="10"/>
              <w:adjustRightInd w:val="0"/>
              <w:snapToGrid w:val="0"/>
              <w:ind w:firstLine="0" w:firstLineChars="0"/>
              <w:jc w:val="center"/>
              <w:rPr>
                <w:rFonts w:hAnsi="宋体" w:cs="宋体"/>
                <w:sz w:val="18"/>
                <w:szCs w:val="18"/>
              </w:rPr>
            </w:pPr>
          </w:p>
        </w:tc>
        <w:tc>
          <w:tcPr>
            <w:tcW w:w="1240" w:type="dxa"/>
            <w:vMerge w:val="continue"/>
            <w:vAlign w:val="center"/>
          </w:tcPr>
          <w:p w14:paraId="1207F957">
            <w:pPr>
              <w:pStyle w:val="10"/>
              <w:adjustRightInd w:val="0"/>
              <w:snapToGrid w:val="0"/>
              <w:ind w:firstLine="0" w:firstLineChars="0"/>
              <w:rPr>
                <w:rFonts w:hAnsi="宋体" w:cs="宋体"/>
                <w:sz w:val="18"/>
                <w:szCs w:val="18"/>
              </w:rPr>
            </w:pPr>
          </w:p>
        </w:tc>
        <w:tc>
          <w:tcPr>
            <w:tcW w:w="5058" w:type="dxa"/>
            <w:vAlign w:val="center"/>
          </w:tcPr>
          <w:p w14:paraId="56F52B13">
            <w:pPr>
              <w:pStyle w:val="10"/>
              <w:adjustRightInd w:val="0"/>
              <w:snapToGrid w:val="0"/>
              <w:ind w:firstLine="0" w:firstLineChars="0"/>
              <w:rPr>
                <w:rFonts w:hAnsi="宋体" w:cs="宋体"/>
                <w:sz w:val="18"/>
                <w:szCs w:val="18"/>
              </w:rPr>
            </w:pPr>
            <w:r>
              <w:rPr>
                <w:rFonts w:hAnsi="宋体" w:cs="宋体"/>
                <w:sz w:val="18"/>
                <w:szCs w:val="18"/>
                <w:lang w:bidi="ar"/>
              </w:rPr>
              <w:t>“小纸条”对政策利率传导效率的影响检验</w:t>
            </w:r>
          </w:p>
        </w:tc>
        <w:tc>
          <w:tcPr>
            <w:tcW w:w="1356" w:type="dxa"/>
            <w:vMerge w:val="continue"/>
            <w:vAlign w:val="center"/>
          </w:tcPr>
          <w:p w14:paraId="16825D65">
            <w:pPr>
              <w:pStyle w:val="10"/>
              <w:adjustRightInd w:val="0"/>
              <w:snapToGrid w:val="0"/>
              <w:ind w:firstLine="0" w:firstLineChars="0"/>
              <w:jc w:val="center"/>
              <w:rPr>
                <w:rFonts w:hAnsi="宋体" w:cs="宋体"/>
                <w:sz w:val="18"/>
                <w:szCs w:val="18"/>
              </w:rPr>
            </w:pPr>
          </w:p>
        </w:tc>
      </w:tr>
      <w:tr w14:paraId="07FB3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708C2FC">
            <w:pPr>
              <w:pStyle w:val="10"/>
              <w:adjustRightInd w:val="0"/>
              <w:snapToGrid w:val="0"/>
              <w:ind w:firstLine="0" w:firstLineChars="0"/>
              <w:jc w:val="center"/>
              <w:rPr>
                <w:rFonts w:hAnsi="宋体" w:cs="宋体"/>
                <w:sz w:val="18"/>
                <w:szCs w:val="18"/>
              </w:rPr>
            </w:pPr>
          </w:p>
        </w:tc>
        <w:tc>
          <w:tcPr>
            <w:tcW w:w="1240" w:type="dxa"/>
            <w:vMerge w:val="continue"/>
            <w:vAlign w:val="center"/>
          </w:tcPr>
          <w:p w14:paraId="562D30C9">
            <w:pPr>
              <w:pStyle w:val="10"/>
              <w:adjustRightInd w:val="0"/>
              <w:snapToGrid w:val="0"/>
              <w:ind w:firstLine="0" w:firstLineChars="0"/>
              <w:rPr>
                <w:rFonts w:hAnsi="宋体" w:cs="宋体"/>
                <w:sz w:val="18"/>
                <w:szCs w:val="18"/>
              </w:rPr>
            </w:pPr>
          </w:p>
        </w:tc>
        <w:tc>
          <w:tcPr>
            <w:tcW w:w="5058" w:type="dxa"/>
            <w:vAlign w:val="center"/>
          </w:tcPr>
          <w:p w14:paraId="1EB576CC">
            <w:pPr>
              <w:pStyle w:val="10"/>
              <w:adjustRightInd w:val="0"/>
              <w:snapToGrid w:val="0"/>
              <w:ind w:firstLine="0" w:firstLineChars="0"/>
              <w:rPr>
                <w:rFonts w:hAnsi="宋体" w:cs="宋体"/>
                <w:sz w:val="18"/>
                <w:szCs w:val="18"/>
              </w:rPr>
            </w:pPr>
            <w:r>
              <w:rPr>
                <w:rFonts w:hAnsi="宋体" w:cs="宋体"/>
                <w:sz w:val="18"/>
                <w:szCs w:val="18"/>
              </w:rPr>
              <w:t>双重差分回归结果</w:t>
            </w:r>
          </w:p>
        </w:tc>
        <w:tc>
          <w:tcPr>
            <w:tcW w:w="1356" w:type="dxa"/>
            <w:vMerge w:val="continue"/>
            <w:vAlign w:val="center"/>
          </w:tcPr>
          <w:p w14:paraId="329B398A">
            <w:pPr>
              <w:pStyle w:val="10"/>
              <w:adjustRightInd w:val="0"/>
              <w:snapToGrid w:val="0"/>
              <w:ind w:firstLine="0" w:firstLineChars="0"/>
              <w:jc w:val="center"/>
              <w:rPr>
                <w:rFonts w:hAnsi="宋体" w:cs="宋体"/>
                <w:sz w:val="18"/>
                <w:szCs w:val="18"/>
              </w:rPr>
            </w:pPr>
          </w:p>
        </w:tc>
      </w:tr>
      <w:tr w14:paraId="0D914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C6A6D9C">
            <w:pPr>
              <w:pStyle w:val="10"/>
              <w:adjustRightInd w:val="0"/>
              <w:snapToGrid w:val="0"/>
              <w:ind w:firstLine="0" w:firstLineChars="0"/>
              <w:jc w:val="center"/>
              <w:rPr>
                <w:rFonts w:hAnsi="宋体" w:cs="宋体"/>
                <w:sz w:val="18"/>
                <w:szCs w:val="18"/>
              </w:rPr>
            </w:pPr>
          </w:p>
        </w:tc>
        <w:tc>
          <w:tcPr>
            <w:tcW w:w="1240" w:type="dxa"/>
            <w:vMerge w:val="continue"/>
            <w:vAlign w:val="center"/>
          </w:tcPr>
          <w:p w14:paraId="29FBE8F1">
            <w:pPr>
              <w:pStyle w:val="10"/>
              <w:adjustRightInd w:val="0"/>
              <w:snapToGrid w:val="0"/>
              <w:ind w:firstLine="0" w:firstLineChars="0"/>
              <w:rPr>
                <w:rFonts w:hAnsi="宋体" w:cs="宋体"/>
                <w:sz w:val="18"/>
                <w:szCs w:val="18"/>
              </w:rPr>
            </w:pPr>
          </w:p>
        </w:tc>
        <w:tc>
          <w:tcPr>
            <w:tcW w:w="5058" w:type="dxa"/>
            <w:vAlign w:val="center"/>
          </w:tcPr>
          <w:p w14:paraId="40243546">
            <w:pPr>
              <w:pStyle w:val="10"/>
              <w:adjustRightInd w:val="0"/>
              <w:snapToGrid w:val="0"/>
              <w:ind w:firstLine="0" w:firstLineChars="0"/>
              <w:rPr>
                <w:rFonts w:hAnsi="宋体" w:cs="宋体"/>
                <w:sz w:val="18"/>
                <w:szCs w:val="18"/>
              </w:rPr>
            </w:pPr>
            <w:r>
              <w:rPr>
                <w:rFonts w:hAnsi="宋体" w:cs="宋体"/>
                <w:sz w:val="18"/>
                <w:szCs w:val="18"/>
              </w:rPr>
              <w:t>日内分钟数据回归结果</w:t>
            </w:r>
          </w:p>
        </w:tc>
        <w:tc>
          <w:tcPr>
            <w:tcW w:w="1356" w:type="dxa"/>
            <w:vMerge w:val="continue"/>
            <w:vAlign w:val="center"/>
          </w:tcPr>
          <w:p w14:paraId="481CA275">
            <w:pPr>
              <w:pStyle w:val="10"/>
              <w:adjustRightInd w:val="0"/>
              <w:snapToGrid w:val="0"/>
              <w:ind w:firstLine="0" w:firstLineChars="0"/>
              <w:jc w:val="center"/>
              <w:rPr>
                <w:rFonts w:hAnsi="宋体" w:cs="宋体"/>
                <w:sz w:val="18"/>
                <w:szCs w:val="18"/>
              </w:rPr>
            </w:pPr>
          </w:p>
        </w:tc>
      </w:tr>
      <w:tr w14:paraId="6D350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A964D2F">
            <w:pPr>
              <w:pStyle w:val="10"/>
              <w:adjustRightInd w:val="0"/>
              <w:snapToGrid w:val="0"/>
              <w:ind w:firstLine="0" w:firstLineChars="0"/>
              <w:jc w:val="center"/>
              <w:rPr>
                <w:rFonts w:hAnsi="宋体" w:cs="宋体"/>
                <w:sz w:val="18"/>
                <w:szCs w:val="18"/>
              </w:rPr>
            </w:pPr>
          </w:p>
        </w:tc>
        <w:tc>
          <w:tcPr>
            <w:tcW w:w="1240" w:type="dxa"/>
            <w:vMerge w:val="continue"/>
            <w:vAlign w:val="center"/>
          </w:tcPr>
          <w:p w14:paraId="131BB887">
            <w:pPr>
              <w:pStyle w:val="10"/>
              <w:adjustRightInd w:val="0"/>
              <w:snapToGrid w:val="0"/>
              <w:ind w:firstLine="0" w:firstLineChars="0"/>
              <w:rPr>
                <w:rFonts w:hAnsi="宋体" w:cs="宋体"/>
                <w:sz w:val="18"/>
                <w:szCs w:val="18"/>
              </w:rPr>
            </w:pPr>
          </w:p>
        </w:tc>
        <w:tc>
          <w:tcPr>
            <w:tcW w:w="5058" w:type="dxa"/>
            <w:vAlign w:val="center"/>
          </w:tcPr>
          <w:p w14:paraId="2982CC37">
            <w:pPr>
              <w:pStyle w:val="10"/>
              <w:adjustRightInd w:val="0"/>
              <w:snapToGrid w:val="0"/>
              <w:ind w:firstLine="0" w:firstLineChars="0"/>
              <w:rPr>
                <w:rFonts w:hAnsi="宋体" w:cs="宋体"/>
                <w:sz w:val="18"/>
                <w:szCs w:val="18"/>
              </w:rPr>
            </w:pPr>
            <w:r>
              <w:rPr>
                <w:rFonts w:hAnsi="宋体" w:cs="宋体"/>
                <w:sz w:val="18"/>
                <w:szCs w:val="18"/>
              </w:rPr>
              <w:t>作用渠道检验</w:t>
            </w:r>
          </w:p>
        </w:tc>
        <w:tc>
          <w:tcPr>
            <w:tcW w:w="1356" w:type="dxa"/>
            <w:vMerge w:val="continue"/>
            <w:vAlign w:val="center"/>
          </w:tcPr>
          <w:p w14:paraId="19E1242A">
            <w:pPr>
              <w:pStyle w:val="10"/>
              <w:adjustRightInd w:val="0"/>
              <w:snapToGrid w:val="0"/>
              <w:ind w:firstLine="0" w:firstLineChars="0"/>
              <w:jc w:val="center"/>
              <w:rPr>
                <w:rFonts w:hAnsi="宋体" w:cs="宋体"/>
                <w:sz w:val="18"/>
                <w:szCs w:val="18"/>
              </w:rPr>
            </w:pPr>
          </w:p>
        </w:tc>
      </w:tr>
      <w:tr w14:paraId="7514D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719D39C">
            <w:pPr>
              <w:pStyle w:val="10"/>
              <w:adjustRightInd w:val="0"/>
              <w:snapToGrid w:val="0"/>
              <w:ind w:firstLine="0" w:firstLineChars="0"/>
              <w:jc w:val="center"/>
              <w:rPr>
                <w:rFonts w:hAnsi="宋体" w:cs="宋体"/>
                <w:sz w:val="18"/>
                <w:szCs w:val="18"/>
              </w:rPr>
            </w:pPr>
          </w:p>
        </w:tc>
        <w:tc>
          <w:tcPr>
            <w:tcW w:w="1240" w:type="dxa"/>
            <w:vMerge w:val="continue"/>
            <w:vAlign w:val="center"/>
          </w:tcPr>
          <w:p w14:paraId="24D7D453">
            <w:pPr>
              <w:pStyle w:val="10"/>
              <w:adjustRightInd w:val="0"/>
              <w:snapToGrid w:val="0"/>
              <w:ind w:firstLine="0" w:firstLineChars="0"/>
              <w:rPr>
                <w:rFonts w:hAnsi="宋体" w:cs="宋体"/>
                <w:sz w:val="18"/>
                <w:szCs w:val="18"/>
              </w:rPr>
            </w:pPr>
          </w:p>
        </w:tc>
        <w:tc>
          <w:tcPr>
            <w:tcW w:w="5058" w:type="dxa"/>
            <w:vAlign w:val="center"/>
          </w:tcPr>
          <w:p w14:paraId="06F94707">
            <w:pPr>
              <w:pStyle w:val="10"/>
              <w:adjustRightInd w:val="0"/>
              <w:snapToGrid w:val="0"/>
              <w:ind w:firstLine="0" w:firstLineChars="0"/>
              <w:rPr>
                <w:rFonts w:hAnsi="宋体" w:cs="宋体"/>
                <w:sz w:val="18"/>
                <w:szCs w:val="18"/>
              </w:rPr>
            </w:pPr>
            <w:r>
              <w:rPr>
                <w:rFonts w:hAnsi="宋体" w:cs="宋体"/>
                <w:sz w:val="18"/>
                <w:szCs w:val="18"/>
              </w:rPr>
              <w:t>“小纸条”对政策利率传导效率的补充检验</w:t>
            </w:r>
          </w:p>
        </w:tc>
        <w:tc>
          <w:tcPr>
            <w:tcW w:w="1356" w:type="dxa"/>
            <w:vMerge w:val="continue"/>
            <w:vAlign w:val="center"/>
          </w:tcPr>
          <w:p w14:paraId="242686F9">
            <w:pPr>
              <w:pStyle w:val="10"/>
              <w:adjustRightInd w:val="0"/>
              <w:snapToGrid w:val="0"/>
              <w:ind w:firstLine="0" w:firstLineChars="0"/>
              <w:jc w:val="center"/>
              <w:rPr>
                <w:rFonts w:hAnsi="宋体" w:cs="宋体"/>
                <w:sz w:val="18"/>
                <w:szCs w:val="18"/>
              </w:rPr>
            </w:pPr>
          </w:p>
        </w:tc>
      </w:tr>
      <w:tr w14:paraId="470F7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B9B0EB4">
            <w:pPr>
              <w:pStyle w:val="10"/>
              <w:adjustRightInd w:val="0"/>
              <w:snapToGrid w:val="0"/>
              <w:ind w:firstLine="0" w:firstLineChars="0"/>
              <w:jc w:val="center"/>
              <w:rPr>
                <w:rFonts w:hAnsi="宋体" w:cs="宋体"/>
                <w:sz w:val="18"/>
                <w:szCs w:val="18"/>
              </w:rPr>
            </w:pPr>
          </w:p>
        </w:tc>
        <w:tc>
          <w:tcPr>
            <w:tcW w:w="1240" w:type="dxa"/>
            <w:vMerge w:val="continue"/>
            <w:vAlign w:val="center"/>
          </w:tcPr>
          <w:p w14:paraId="468FEFD3">
            <w:pPr>
              <w:pStyle w:val="10"/>
              <w:adjustRightInd w:val="0"/>
              <w:snapToGrid w:val="0"/>
              <w:ind w:firstLine="0" w:firstLineChars="0"/>
              <w:rPr>
                <w:rFonts w:hAnsi="宋体" w:cs="宋体"/>
                <w:sz w:val="18"/>
                <w:szCs w:val="18"/>
              </w:rPr>
            </w:pPr>
          </w:p>
        </w:tc>
        <w:tc>
          <w:tcPr>
            <w:tcW w:w="5058" w:type="dxa"/>
            <w:vAlign w:val="center"/>
          </w:tcPr>
          <w:p w14:paraId="1AF042BA">
            <w:pPr>
              <w:pStyle w:val="10"/>
              <w:adjustRightInd w:val="0"/>
              <w:snapToGrid w:val="0"/>
              <w:ind w:firstLine="0" w:firstLineChars="0"/>
              <w:rPr>
                <w:rFonts w:hAnsi="宋体" w:cs="宋体"/>
                <w:sz w:val="18"/>
                <w:szCs w:val="18"/>
              </w:rPr>
            </w:pPr>
            <w:r>
              <w:rPr>
                <w:rFonts w:hAnsi="宋体" w:cs="宋体"/>
                <w:sz w:val="18"/>
                <w:szCs w:val="18"/>
              </w:rPr>
              <w:t>稳健性检验</w:t>
            </w:r>
          </w:p>
        </w:tc>
        <w:tc>
          <w:tcPr>
            <w:tcW w:w="1356" w:type="dxa"/>
            <w:vMerge w:val="continue"/>
            <w:vAlign w:val="center"/>
          </w:tcPr>
          <w:p w14:paraId="0E3CA194">
            <w:pPr>
              <w:pStyle w:val="10"/>
              <w:adjustRightInd w:val="0"/>
              <w:snapToGrid w:val="0"/>
              <w:ind w:firstLine="0" w:firstLineChars="0"/>
              <w:jc w:val="center"/>
              <w:rPr>
                <w:rFonts w:hAnsi="宋体" w:cs="宋体"/>
                <w:sz w:val="18"/>
                <w:szCs w:val="18"/>
              </w:rPr>
            </w:pPr>
          </w:p>
        </w:tc>
      </w:tr>
      <w:tr w14:paraId="55C83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6D27D57">
            <w:pPr>
              <w:pStyle w:val="10"/>
              <w:adjustRightInd w:val="0"/>
              <w:snapToGrid w:val="0"/>
              <w:ind w:firstLine="0" w:firstLineChars="0"/>
              <w:jc w:val="center"/>
              <w:rPr>
                <w:rFonts w:hAnsi="宋体" w:cs="宋体"/>
                <w:sz w:val="18"/>
                <w:szCs w:val="18"/>
              </w:rPr>
            </w:pPr>
          </w:p>
        </w:tc>
        <w:tc>
          <w:tcPr>
            <w:tcW w:w="1240" w:type="dxa"/>
            <w:vMerge w:val="continue"/>
            <w:vAlign w:val="center"/>
          </w:tcPr>
          <w:p w14:paraId="441F3465">
            <w:pPr>
              <w:pStyle w:val="10"/>
              <w:adjustRightInd w:val="0"/>
              <w:snapToGrid w:val="0"/>
              <w:ind w:firstLine="0" w:firstLineChars="0"/>
              <w:rPr>
                <w:rFonts w:hAnsi="宋体" w:cs="宋体"/>
                <w:sz w:val="18"/>
                <w:szCs w:val="18"/>
              </w:rPr>
            </w:pPr>
          </w:p>
        </w:tc>
        <w:tc>
          <w:tcPr>
            <w:tcW w:w="5058" w:type="dxa"/>
            <w:vAlign w:val="center"/>
          </w:tcPr>
          <w:p w14:paraId="7C29CC99">
            <w:pPr>
              <w:pStyle w:val="10"/>
              <w:adjustRightInd w:val="0"/>
              <w:snapToGrid w:val="0"/>
              <w:ind w:firstLine="0" w:firstLineChars="0"/>
              <w:rPr>
                <w:rFonts w:hAnsi="宋体" w:cs="宋体"/>
                <w:sz w:val="18"/>
                <w:szCs w:val="18"/>
              </w:rPr>
            </w:pPr>
            <w:r>
              <w:rPr>
                <w:rFonts w:hAnsi="宋体" w:cs="宋体"/>
                <w:sz w:val="18"/>
                <w:szCs w:val="18"/>
              </w:rPr>
              <w:t>平行趋势检验结果</w:t>
            </w:r>
          </w:p>
        </w:tc>
        <w:tc>
          <w:tcPr>
            <w:tcW w:w="1356" w:type="dxa"/>
            <w:vMerge w:val="continue"/>
            <w:vAlign w:val="center"/>
          </w:tcPr>
          <w:p w14:paraId="6A9AF57A">
            <w:pPr>
              <w:pStyle w:val="10"/>
              <w:adjustRightInd w:val="0"/>
              <w:snapToGrid w:val="0"/>
              <w:ind w:firstLine="0" w:firstLineChars="0"/>
              <w:jc w:val="center"/>
              <w:rPr>
                <w:rFonts w:hAnsi="宋体" w:cs="宋体"/>
                <w:sz w:val="18"/>
                <w:szCs w:val="18"/>
              </w:rPr>
            </w:pPr>
          </w:p>
        </w:tc>
      </w:tr>
      <w:tr w14:paraId="71A64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D358851">
            <w:pPr>
              <w:pStyle w:val="10"/>
              <w:adjustRightInd w:val="0"/>
              <w:snapToGrid w:val="0"/>
              <w:ind w:firstLine="0" w:firstLineChars="0"/>
              <w:jc w:val="center"/>
              <w:rPr>
                <w:rFonts w:hAnsi="宋体" w:cs="宋体"/>
                <w:sz w:val="18"/>
                <w:szCs w:val="18"/>
              </w:rPr>
            </w:pPr>
          </w:p>
        </w:tc>
        <w:tc>
          <w:tcPr>
            <w:tcW w:w="1240" w:type="dxa"/>
            <w:vMerge w:val="continue"/>
            <w:vAlign w:val="center"/>
          </w:tcPr>
          <w:p w14:paraId="09BB8D94">
            <w:pPr>
              <w:pStyle w:val="10"/>
              <w:adjustRightInd w:val="0"/>
              <w:snapToGrid w:val="0"/>
              <w:ind w:firstLine="0" w:firstLineChars="0"/>
              <w:rPr>
                <w:rFonts w:hAnsi="宋体" w:cs="宋体"/>
                <w:sz w:val="18"/>
                <w:szCs w:val="18"/>
              </w:rPr>
            </w:pPr>
          </w:p>
        </w:tc>
        <w:tc>
          <w:tcPr>
            <w:tcW w:w="5058" w:type="dxa"/>
            <w:vAlign w:val="center"/>
          </w:tcPr>
          <w:p w14:paraId="7B332DDF">
            <w:pPr>
              <w:pStyle w:val="10"/>
              <w:adjustRightInd w:val="0"/>
              <w:snapToGrid w:val="0"/>
              <w:ind w:firstLine="0" w:firstLineChars="0"/>
              <w:rPr>
                <w:rFonts w:hAnsi="宋体" w:cs="宋体"/>
                <w:sz w:val="18"/>
                <w:szCs w:val="18"/>
              </w:rPr>
            </w:pPr>
            <w:r>
              <w:rPr>
                <w:rFonts w:hAnsi="宋体" w:cs="宋体"/>
                <w:sz w:val="18"/>
                <w:szCs w:val="18"/>
              </w:rPr>
              <w:t>安慰剂检验</w:t>
            </w:r>
          </w:p>
        </w:tc>
        <w:tc>
          <w:tcPr>
            <w:tcW w:w="1356" w:type="dxa"/>
            <w:vMerge w:val="continue"/>
            <w:vAlign w:val="center"/>
          </w:tcPr>
          <w:p w14:paraId="7573AC4F">
            <w:pPr>
              <w:pStyle w:val="10"/>
              <w:adjustRightInd w:val="0"/>
              <w:snapToGrid w:val="0"/>
              <w:ind w:firstLine="0" w:firstLineChars="0"/>
              <w:jc w:val="center"/>
              <w:rPr>
                <w:rFonts w:hAnsi="宋体" w:cs="宋体"/>
                <w:sz w:val="18"/>
                <w:szCs w:val="18"/>
              </w:rPr>
            </w:pPr>
          </w:p>
        </w:tc>
      </w:tr>
      <w:tr w14:paraId="23329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3E14404">
            <w:pPr>
              <w:pStyle w:val="10"/>
              <w:adjustRightInd w:val="0"/>
              <w:snapToGrid w:val="0"/>
              <w:ind w:firstLine="0" w:firstLineChars="0"/>
              <w:jc w:val="center"/>
              <w:rPr>
                <w:rFonts w:hAnsi="宋体" w:cs="宋体"/>
                <w:sz w:val="18"/>
                <w:szCs w:val="18"/>
              </w:rPr>
            </w:pPr>
          </w:p>
        </w:tc>
        <w:tc>
          <w:tcPr>
            <w:tcW w:w="1240" w:type="dxa"/>
            <w:vMerge w:val="restart"/>
            <w:vAlign w:val="center"/>
          </w:tcPr>
          <w:p w14:paraId="43FAF7F0">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0E068BA8">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2C285ADD">
            <w:pPr>
              <w:pStyle w:val="10"/>
              <w:adjustRightInd w:val="0"/>
              <w:snapToGrid w:val="0"/>
              <w:ind w:firstLine="0" w:firstLineChars="0"/>
              <w:jc w:val="center"/>
              <w:rPr>
                <w:rFonts w:hAnsi="宋体" w:cs="宋体"/>
                <w:sz w:val="18"/>
                <w:szCs w:val="18"/>
              </w:rPr>
            </w:pPr>
          </w:p>
        </w:tc>
      </w:tr>
      <w:tr w14:paraId="30E1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6FADEB9">
            <w:pPr>
              <w:pStyle w:val="10"/>
              <w:adjustRightInd w:val="0"/>
              <w:snapToGrid w:val="0"/>
              <w:ind w:firstLine="0" w:firstLineChars="0"/>
              <w:jc w:val="center"/>
              <w:rPr>
                <w:rFonts w:hAnsi="宋体" w:cs="宋体"/>
                <w:sz w:val="18"/>
                <w:szCs w:val="18"/>
              </w:rPr>
            </w:pPr>
          </w:p>
        </w:tc>
        <w:tc>
          <w:tcPr>
            <w:tcW w:w="1240" w:type="dxa"/>
            <w:vMerge w:val="continue"/>
            <w:vAlign w:val="center"/>
          </w:tcPr>
          <w:p w14:paraId="413F3C91">
            <w:pPr>
              <w:pStyle w:val="10"/>
              <w:adjustRightInd w:val="0"/>
              <w:snapToGrid w:val="0"/>
              <w:ind w:firstLine="0" w:firstLineChars="0"/>
              <w:rPr>
                <w:rFonts w:hAnsi="宋体" w:cs="宋体"/>
                <w:sz w:val="18"/>
                <w:szCs w:val="18"/>
              </w:rPr>
            </w:pPr>
          </w:p>
        </w:tc>
        <w:tc>
          <w:tcPr>
            <w:tcW w:w="5058" w:type="dxa"/>
            <w:vAlign w:val="center"/>
          </w:tcPr>
          <w:p w14:paraId="32036CF4">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事件研究法</w:t>
            </w:r>
            <w:r>
              <w:rPr>
                <w:rFonts w:hAnsi="宋体" w:cs="宋体"/>
                <w:spacing w:val="10"/>
                <w:sz w:val="18"/>
                <w:szCs w:val="18"/>
              </w:rPr>
              <w:t>建模技巧与论文写作技巧</w:t>
            </w:r>
          </w:p>
        </w:tc>
        <w:tc>
          <w:tcPr>
            <w:tcW w:w="1356" w:type="dxa"/>
            <w:vMerge w:val="continue"/>
            <w:vAlign w:val="center"/>
          </w:tcPr>
          <w:p w14:paraId="4877A428">
            <w:pPr>
              <w:pStyle w:val="10"/>
              <w:adjustRightInd w:val="0"/>
              <w:snapToGrid w:val="0"/>
              <w:ind w:firstLine="0" w:firstLineChars="0"/>
              <w:jc w:val="center"/>
              <w:rPr>
                <w:rFonts w:hAnsi="宋体" w:cs="宋体"/>
                <w:sz w:val="18"/>
                <w:szCs w:val="18"/>
              </w:rPr>
            </w:pPr>
          </w:p>
        </w:tc>
      </w:tr>
    </w:tbl>
    <w:p w14:paraId="53ED3FD6">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4" w:name="_Toc13654"/>
      <w:r>
        <w:rPr>
          <w:rFonts w:hint="eastAsia" w:ascii="宋体" w:hAnsi="宋体" w:cs="宋体"/>
          <w:sz w:val="21"/>
          <w:szCs w:val="21"/>
        </w:rPr>
        <w:t>倾向得分匹配+双重差分（延付高管薪酬对银行风险承担的政策效应—基于银行盈余管理动机视角的PSM-DID分析）</w:t>
      </w:r>
      <w:bookmarkEnd w:id="34"/>
    </w:p>
    <w:p w14:paraId="4FB6DDB7">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3564A1AE">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9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0"/>
        <w:gridCol w:w="6826"/>
      </w:tblGrid>
      <w:tr w14:paraId="11BAD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709B4EC6">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1129F579">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36262D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484B2BCA">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06DBB7C8">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24DB30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71AC6A07">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7E6C8946">
            <w:pPr>
              <w:pStyle w:val="10"/>
              <w:adjustRightInd w:val="0"/>
              <w:snapToGrid w:val="0"/>
              <w:ind w:firstLine="0" w:firstLineChars="0"/>
              <w:jc w:val="left"/>
              <w:rPr>
                <w:rFonts w:hAnsi="宋体" w:cs="宋体"/>
                <w:sz w:val="18"/>
                <w:szCs w:val="18"/>
              </w:rPr>
            </w:pPr>
            <w:r>
              <w:rPr>
                <w:rFonts w:hAnsi="宋体" w:cs="宋体"/>
                <w:sz w:val="18"/>
                <w:szCs w:val="18"/>
              </w:rPr>
              <w:t>包含12份实训指导书、4份数据、1份论文仿写设计报告模板。</w:t>
            </w:r>
          </w:p>
        </w:tc>
      </w:tr>
      <w:tr w14:paraId="34C551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07E631A4">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250B122F">
            <w:pPr>
              <w:pStyle w:val="10"/>
              <w:adjustRightInd w:val="0"/>
              <w:snapToGrid w:val="0"/>
              <w:ind w:firstLine="0" w:firstLineChars="0"/>
              <w:jc w:val="left"/>
              <w:rPr>
                <w:rFonts w:hAnsi="宋体" w:cs="宋体"/>
                <w:sz w:val="18"/>
                <w:szCs w:val="18"/>
              </w:rPr>
            </w:pPr>
            <w:r>
              <w:rPr>
                <w:rFonts w:hAnsi="宋体" w:cs="宋体"/>
                <w:sz w:val="18"/>
                <w:szCs w:val="18"/>
              </w:rPr>
              <w:t>高效掌握倾向得分匹配+双重差分建模技巧与论文写作技巧</w:t>
            </w:r>
          </w:p>
        </w:tc>
      </w:tr>
      <w:tr w14:paraId="067C47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10E74A9A">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1425BACF">
            <w:pPr>
              <w:pStyle w:val="10"/>
              <w:adjustRightInd w:val="0"/>
              <w:snapToGrid w:val="0"/>
              <w:ind w:firstLine="0" w:firstLineChars="0"/>
              <w:jc w:val="left"/>
              <w:rPr>
                <w:rFonts w:hAnsi="宋体" w:cs="宋体"/>
                <w:sz w:val="18"/>
                <w:szCs w:val="18"/>
              </w:rPr>
            </w:pPr>
            <w:r>
              <w:rPr>
                <w:rFonts w:hAnsi="宋体" w:cs="宋体"/>
                <w:sz w:val="18"/>
                <w:szCs w:val="18"/>
              </w:rPr>
              <w:t>延付高管薪酬对银行风险承担的政策效应—基于银行盈余管理动机视角的PSM-DID分析</w:t>
            </w:r>
          </w:p>
        </w:tc>
      </w:tr>
    </w:tbl>
    <w:p w14:paraId="68DF454D">
      <w:pPr>
        <w:adjustRightInd w:val="0"/>
        <w:snapToGrid w:val="0"/>
        <w:ind w:firstLine="420"/>
        <w:jc w:val="left"/>
        <w:rPr>
          <w:rFonts w:hint="eastAsia" w:ascii="宋体" w:hAnsi="宋体" w:cs="宋体"/>
          <w:sz w:val="21"/>
          <w:szCs w:val="21"/>
        </w:rPr>
      </w:pPr>
      <w:r>
        <w:rPr>
          <w:rFonts w:hint="eastAsia" w:ascii="宋体" w:hAnsi="宋体" w:cs="宋体"/>
          <w:sz w:val="21"/>
          <w:szCs w:val="21"/>
        </w:rPr>
        <w:t>倾向得分匹配（Propensity Score Matching, PSM）是一种用于处理选择性偏差的统计方法，通过构建处理组和对照组在可观测特征上的相似性，模拟随机实验。其核心思想是估计个体接受处理的概率（倾向得分），并根据得分匹配处理组和对照组。</w:t>
      </w:r>
    </w:p>
    <w:p w14:paraId="587299C0">
      <w:pPr>
        <w:adjustRightInd w:val="0"/>
        <w:snapToGrid w:val="0"/>
        <w:ind w:firstLine="420"/>
        <w:jc w:val="left"/>
        <w:rPr>
          <w:rFonts w:hint="eastAsia" w:ascii="宋体" w:hAnsi="宋体" w:cs="宋体"/>
          <w:sz w:val="21"/>
          <w:szCs w:val="21"/>
        </w:rPr>
      </w:pPr>
      <w:r>
        <w:rPr>
          <w:rFonts w:hint="eastAsia" w:ascii="宋体" w:hAnsi="宋体" w:cs="宋体"/>
          <w:sz w:val="21"/>
          <w:szCs w:val="21"/>
        </w:rPr>
        <w:t>步骤：</w:t>
      </w:r>
    </w:p>
    <w:p w14:paraId="3F81417A">
      <w:pPr>
        <w:adjustRightInd w:val="0"/>
        <w:snapToGrid w:val="0"/>
        <w:ind w:firstLine="420"/>
        <w:jc w:val="left"/>
        <w:rPr>
          <w:rFonts w:hint="eastAsia" w:ascii="宋体" w:hAnsi="宋体" w:cs="宋体"/>
          <w:sz w:val="21"/>
          <w:szCs w:val="21"/>
        </w:rPr>
      </w:pPr>
      <w:r>
        <w:rPr>
          <w:rFonts w:hint="eastAsia" w:ascii="宋体" w:hAnsi="宋体" w:cs="宋体"/>
          <w:sz w:val="21"/>
          <w:szCs w:val="21"/>
        </w:rPr>
        <w:t>估计倾向得分：使用Logit或Probit模型预测个体接受处理的概率。</w:t>
      </w:r>
    </w:p>
    <w:p w14:paraId="5CB9C048">
      <w:pPr>
        <w:adjustRightInd w:val="0"/>
        <w:snapToGrid w:val="0"/>
        <w:ind w:firstLine="420"/>
        <w:jc w:val="left"/>
        <w:rPr>
          <w:rFonts w:hint="eastAsia" w:ascii="宋体" w:hAnsi="宋体" w:cs="宋体"/>
          <w:sz w:val="21"/>
          <w:szCs w:val="21"/>
        </w:rPr>
      </w:pPr>
      <w:r>
        <w:rPr>
          <w:rFonts w:hint="eastAsia" w:ascii="宋体" w:hAnsi="宋体" w:cs="宋体"/>
          <w:sz w:val="21"/>
          <w:szCs w:val="21"/>
        </w:rPr>
        <w:t>匹配处理组和对照组：根据倾向得分进行匹配（如最近邻匹配、核匹配等）。</w:t>
      </w:r>
    </w:p>
    <w:p w14:paraId="5D1277A0">
      <w:pPr>
        <w:adjustRightInd w:val="0"/>
        <w:snapToGrid w:val="0"/>
        <w:ind w:firstLine="420"/>
        <w:jc w:val="left"/>
        <w:rPr>
          <w:rFonts w:hint="eastAsia" w:ascii="宋体" w:hAnsi="宋体" w:cs="宋体"/>
          <w:sz w:val="21"/>
          <w:szCs w:val="21"/>
        </w:rPr>
      </w:pPr>
      <w:r>
        <w:rPr>
          <w:rFonts w:hint="eastAsia" w:ascii="宋体" w:hAnsi="宋体" w:cs="宋体"/>
          <w:sz w:val="21"/>
          <w:szCs w:val="21"/>
        </w:rPr>
        <w:t>比较匹配后的处理组和对照组的结果变量。</w:t>
      </w:r>
    </w:p>
    <w:p w14:paraId="28841D6D">
      <w:pPr>
        <w:adjustRightInd w:val="0"/>
        <w:snapToGrid w:val="0"/>
        <w:ind w:firstLine="420"/>
        <w:jc w:val="left"/>
        <w:rPr>
          <w:rFonts w:hint="eastAsia" w:ascii="宋体" w:hAnsi="宋体" w:cs="宋体"/>
          <w:sz w:val="21"/>
          <w:szCs w:val="21"/>
        </w:rPr>
      </w:pPr>
      <w:r>
        <w:rPr>
          <w:rFonts w:hint="eastAsia" w:ascii="宋体" w:hAnsi="宋体" w:cs="宋体"/>
          <w:sz w:val="21"/>
          <w:szCs w:val="21"/>
        </w:rPr>
        <w:t>双重差分模型（Difference-in-Differences, DID）通过比较处理组和对照组在政策实施前后的变化差异，识别因果关系。</w:t>
      </w:r>
    </w:p>
    <w:p w14:paraId="6F69B271">
      <w:pPr>
        <w:adjustRightInd w:val="0"/>
        <w:snapToGrid w:val="0"/>
        <w:ind w:firstLine="420"/>
        <w:jc w:val="left"/>
        <w:rPr>
          <w:rFonts w:hint="eastAsia" w:ascii="宋体" w:hAnsi="宋体" w:cs="宋体"/>
          <w:sz w:val="21"/>
          <w:szCs w:val="21"/>
        </w:rPr>
      </w:pPr>
      <w:r>
        <w:rPr>
          <w:rFonts w:hint="eastAsia" w:ascii="宋体" w:hAnsi="宋体" w:cs="宋体"/>
          <w:sz w:val="21"/>
          <w:szCs w:val="21"/>
        </w:rPr>
        <w:t>PSM+DID的结合</w:t>
      </w:r>
    </w:p>
    <w:p w14:paraId="44EF7CB5">
      <w:pPr>
        <w:adjustRightInd w:val="0"/>
        <w:snapToGrid w:val="0"/>
        <w:ind w:firstLine="420"/>
        <w:jc w:val="left"/>
        <w:rPr>
          <w:rFonts w:hint="eastAsia" w:ascii="宋体" w:hAnsi="宋体" w:cs="宋体"/>
          <w:sz w:val="21"/>
          <w:szCs w:val="21"/>
        </w:rPr>
      </w:pPr>
      <w:r>
        <w:rPr>
          <w:rFonts w:hint="eastAsia" w:ascii="宋体" w:hAnsi="宋体" w:cs="宋体"/>
          <w:sz w:val="21"/>
          <w:szCs w:val="21"/>
        </w:rPr>
        <w:t>目的：通过PSM消除处理组和对照组在政策实施前的选择性偏差，再通过DID识别政策效果。</w:t>
      </w:r>
    </w:p>
    <w:p w14:paraId="328FF5B6">
      <w:pPr>
        <w:adjustRightInd w:val="0"/>
        <w:snapToGrid w:val="0"/>
        <w:ind w:firstLine="420"/>
        <w:jc w:val="left"/>
        <w:rPr>
          <w:rFonts w:hint="eastAsia" w:ascii="宋体" w:hAnsi="宋体" w:cs="宋体"/>
          <w:sz w:val="21"/>
          <w:szCs w:val="21"/>
        </w:rPr>
      </w:pPr>
      <w:r>
        <w:rPr>
          <w:rFonts w:hint="eastAsia" w:ascii="宋体" w:hAnsi="宋体" w:cs="宋体"/>
          <w:sz w:val="21"/>
          <w:szCs w:val="21"/>
        </w:rPr>
        <w:t>优势：结合PSM的控制选择性偏差能力和DID的因果推断能力，提高估计的准确性。</w:t>
      </w:r>
    </w:p>
    <w:p w14:paraId="57D2054E">
      <w:pPr>
        <w:adjustRightInd w:val="0"/>
        <w:snapToGrid w:val="0"/>
        <w:ind w:firstLine="420"/>
        <w:jc w:val="left"/>
        <w:rPr>
          <w:rFonts w:hint="eastAsia" w:ascii="宋体" w:hAnsi="宋体" w:cs="宋体"/>
          <w:sz w:val="21"/>
          <w:szCs w:val="21"/>
        </w:rPr>
      </w:pPr>
      <w:r>
        <w:rPr>
          <w:rFonts w:hint="eastAsia" w:ascii="宋体" w:hAnsi="宋体" w:cs="宋体"/>
          <w:sz w:val="21"/>
          <w:szCs w:val="21"/>
        </w:rPr>
        <w:t>PSM+DID的优势与局限性：</w:t>
      </w:r>
    </w:p>
    <w:p w14:paraId="2F227866">
      <w:pPr>
        <w:adjustRightInd w:val="0"/>
        <w:snapToGrid w:val="0"/>
        <w:ind w:firstLine="420"/>
        <w:jc w:val="left"/>
        <w:rPr>
          <w:rFonts w:hint="eastAsia" w:ascii="宋体" w:hAnsi="宋体" w:cs="宋体"/>
          <w:sz w:val="21"/>
          <w:szCs w:val="21"/>
        </w:rPr>
      </w:pPr>
      <w:r>
        <w:rPr>
          <w:rFonts w:hint="eastAsia" w:ascii="宋体" w:hAnsi="宋体" w:cs="宋体"/>
          <w:sz w:val="21"/>
          <w:szCs w:val="21"/>
        </w:rPr>
        <w:t>控制选择性偏差：通过PSM消除处理组和对照组在政策实施前的选择性偏差。</w:t>
      </w:r>
    </w:p>
    <w:p w14:paraId="5871AC95">
      <w:pPr>
        <w:adjustRightInd w:val="0"/>
        <w:snapToGrid w:val="0"/>
        <w:ind w:firstLine="420"/>
        <w:jc w:val="left"/>
        <w:rPr>
          <w:rFonts w:hint="eastAsia" w:ascii="宋体" w:hAnsi="宋体" w:cs="宋体"/>
          <w:sz w:val="21"/>
          <w:szCs w:val="21"/>
        </w:rPr>
      </w:pPr>
      <w:r>
        <w:rPr>
          <w:rFonts w:hint="eastAsia" w:ascii="宋体" w:hAnsi="宋体" w:cs="宋体"/>
          <w:sz w:val="21"/>
          <w:szCs w:val="21"/>
        </w:rPr>
        <w:t>因果推断能力强：通过DID识别政策效果的净效应。</w:t>
      </w:r>
    </w:p>
    <w:p w14:paraId="1BF6AD91">
      <w:pPr>
        <w:adjustRightInd w:val="0"/>
        <w:snapToGrid w:val="0"/>
        <w:ind w:firstLine="420"/>
        <w:jc w:val="left"/>
        <w:rPr>
          <w:rFonts w:hint="eastAsia" w:ascii="宋体" w:hAnsi="宋体" w:cs="宋体"/>
          <w:sz w:val="21"/>
          <w:szCs w:val="21"/>
        </w:rPr>
      </w:pPr>
      <w:r>
        <w:rPr>
          <w:rFonts w:hint="eastAsia" w:ascii="宋体" w:hAnsi="宋体" w:cs="宋体"/>
          <w:sz w:val="21"/>
          <w:szCs w:val="21"/>
        </w:rPr>
        <w:t>适用性广：适用于多种政策评估场景，尤其在无法进行随机实验时表现突出。</w:t>
      </w:r>
    </w:p>
    <w:p w14:paraId="616D5A8E">
      <w:pPr>
        <w:adjustRightInd w:val="0"/>
        <w:snapToGrid w:val="0"/>
        <w:ind w:firstLine="420"/>
        <w:jc w:val="left"/>
        <w:rPr>
          <w:rFonts w:hint="eastAsia" w:ascii="宋体" w:hAnsi="宋体" w:cs="宋体"/>
          <w:sz w:val="21"/>
          <w:szCs w:val="21"/>
        </w:rPr>
      </w:pPr>
      <w:r>
        <w:rPr>
          <w:rFonts w:hint="eastAsia" w:ascii="宋体" w:hAnsi="宋体" w:cs="宋体"/>
          <w:sz w:val="21"/>
          <w:szCs w:val="21"/>
        </w:rPr>
        <w:t>数据要求高：需要足够多的可观测特征进行倾向得分匹配，否则可能导致匹配不准确。</w:t>
      </w:r>
    </w:p>
    <w:p w14:paraId="3B37F358">
      <w:pPr>
        <w:adjustRightInd w:val="0"/>
        <w:snapToGrid w:val="0"/>
        <w:ind w:firstLine="420"/>
        <w:jc w:val="left"/>
        <w:rPr>
          <w:rFonts w:hint="eastAsia" w:ascii="宋体" w:hAnsi="宋体" w:cs="宋体"/>
          <w:sz w:val="21"/>
          <w:szCs w:val="21"/>
        </w:rPr>
      </w:pPr>
      <w:r>
        <w:rPr>
          <w:rFonts w:hint="eastAsia" w:ascii="宋体" w:hAnsi="宋体" w:cs="宋体"/>
          <w:sz w:val="21"/>
          <w:szCs w:val="21"/>
        </w:rPr>
        <w:t>平行趋势假设严格：需检验处理组和对照组在政策实施前的趋势是否一致，否则可能导致估计偏差。</w:t>
      </w:r>
    </w:p>
    <w:p w14:paraId="6C7F572D">
      <w:pPr>
        <w:adjustRightInd w:val="0"/>
        <w:snapToGrid w:val="0"/>
        <w:ind w:firstLine="420"/>
        <w:jc w:val="left"/>
        <w:rPr>
          <w:rFonts w:hint="eastAsia" w:ascii="宋体" w:hAnsi="宋体" w:cs="宋体"/>
          <w:sz w:val="21"/>
          <w:szCs w:val="21"/>
        </w:rPr>
      </w:pPr>
      <w:r>
        <w:rPr>
          <w:rFonts w:hint="eastAsia" w:ascii="宋体" w:hAnsi="宋体" w:cs="宋体"/>
          <w:sz w:val="21"/>
          <w:szCs w:val="21"/>
        </w:rPr>
        <w:t>混杂事件干扰：若研究期内发生其他重大事件，可能干扰政策效果的识别。</w:t>
      </w:r>
    </w:p>
    <w:p w14:paraId="6C403BE0">
      <w:pPr>
        <w:adjustRightInd w:val="0"/>
        <w:snapToGrid w:val="0"/>
        <w:ind w:firstLine="420"/>
        <w:jc w:val="left"/>
        <w:rPr>
          <w:rFonts w:hint="eastAsia" w:ascii="宋体" w:hAnsi="宋体" w:cs="宋体"/>
          <w:sz w:val="21"/>
          <w:szCs w:val="21"/>
        </w:rPr>
      </w:pPr>
      <w:r>
        <w:rPr>
          <w:rFonts w:hint="eastAsia" w:ascii="宋体" w:hAnsi="宋体" w:cs="宋体"/>
          <w:sz w:val="21"/>
          <w:szCs w:val="21"/>
        </w:rPr>
        <w:t>PSM+DID是一种强大的工具，适用于评估政策或干预措施的效果，尤其在政策评估、公共卫生干预、教育政策研究等领域具有重要应用价值。通过结合PSM的控制选择性偏差能力和DID的因果推断能力，能够更准确地识别政策效果的净效应。在实际应用中，需合理选择匹配变量，检验平行趋势假设，并通过稳健性分析确保结果的可靠性。</w:t>
      </w:r>
    </w:p>
    <w:p w14:paraId="09B29E56">
      <w:pPr>
        <w:pStyle w:val="2"/>
        <w:ind w:left="0" w:leftChars="0" w:firstLine="0" w:firstLineChars="0"/>
        <w:rPr>
          <w:rFonts w:hint="eastAsia"/>
        </w:rPr>
      </w:pPr>
      <w:r>
        <w:drawing>
          <wp:inline distT="0" distB="0" distL="114300" distR="114300">
            <wp:extent cx="5263515" cy="2660015"/>
            <wp:effectExtent l="0" t="0" r="6985" b="698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31"/>
                    <a:stretch>
                      <a:fillRect/>
                    </a:stretch>
                  </pic:blipFill>
                  <pic:spPr>
                    <a:xfrm>
                      <a:off x="0" y="0"/>
                      <a:ext cx="5263515" cy="2660015"/>
                    </a:xfrm>
                    <a:prstGeom prst="rect">
                      <a:avLst/>
                    </a:prstGeom>
                    <a:noFill/>
                    <a:ln>
                      <a:noFill/>
                    </a:ln>
                  </pic:spPr>
                </pic:pic>
              </a:graphicData>
            </a:graphic>
          </wp:inline>
        </w:drawing>
      </w:r>
    </w:p>
    <w:p w14:paraId="7745FB2E">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52C208D3">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10 倾向得分匹配+双重差分（延付高管薪酬对银行风险承担的政策效应—基于银行盈余管理动机视角的PSM-DID分析）</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7CC3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78D95CE4">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45CD99A7">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7B8C7B33">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575F4412">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58449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688CA64A">
            <w:pPr>
              <w:pStyle w:val="10"/>
              <w:adjustRightInd w:val="0"/>
              <w:snapToGrid w:val="0"/>
              <w:ind w:firstLine="0" w:firstLineChars="0"/>
              <w:jc w:val="center"/>
              <w:rPr>
                <w:rFonts w:hAnsi="宋体" w:cs="宋体"/>
                <w:sz w:val="18"/>
                <w:szCs w:val="18"/>
              </w:rPr>
            </w:pPr>
          </w:p>
          <w:p w14:paraId="76D44FCD">
            <w:pPr>
              <w:pStyle w:val="10"/>
              <w:adjustRightInd w:val="0"/>
              <w:snapToGrid w:val="0"/>
              <w:ind w:firstLine="0" w:firstLineChars="0"/>
              <w:jc w:val="center"/>
              <w:rPr>
                <w:rFonts w:hAnsi="宋体" w:cs="宋体"/>
                <w:sz w:val="18"/>
                <w:szCs w:val="18"/>
              </w:rPr>
            </w:pPr>
            <w:r>
              <w:rPr>
                <w:rFonts w:hAnsi="宋体" w:cs="宋体"/>
                <w:sz w:val="18"/>
                <w:szCs w:val="18"/>
                <w:lang w:bidi="ar"/>
              </w:rPr>
              <w:t>倾向得分匹配+双重差分（延付高管薪酬对银行风险承担的政策效应—基于银行盈余管理动机视角的PSM-DID分析）</w:t>
            </w:r>
          </w:p>
        </w:tc>
        <w:tc>
          <w:tcPr>
            <w:tcW w:w="1240" w:type="dxa"/>
            <w:vMerge w:val="restart"/>
            <w:vAlign w:val="center"/>
          </w:tcPr>
          <w:p w14:paraId="4A067364">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7485B059">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47CB2B2F">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3D5FC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A59D917">
            <w:pPr>
              <w:pStyle w:val="10"/>
              <w:adjustRightInd w:val="0"/>
              <w:snapToGrid w:val="0"/>
              <w:ind w:firstLine="0" w:firstLineChars="0"/>
              <w:jc w:val="center"/>
              <w:rPr>
                <w:rFonts w:hAnsi="宋体" w:cs="宋体"/>
                <w:sz w:val="18"/>
                <w:szCs w:val="18"/>
              </w:rPr>
            </w:pPr>
          </w:p>
        </w:tc>
        <w:tc>
          <w:tcPr>
            <w:tcW w:w="1240" w:type="dxa"/>
            <w:vMerge w:val="continue"/>
            <w:vAlign w:val="center"/>
          </w:tcPr>
          <w:p w14:paraId="43EA1E0C">
            <w:pPr>
              <w:pStyle w:val="10"/>
              <w:adjustRightInd w:val="0"/>
              <w:snapToGrid w:val="0"/>
              <w:ind w:firstLine="0" w:firstLineChars="0"/>
              <w:rPr>
                <w:rFonts w:hAnsi="宋体" w:cs="宋体"/>
                <w:spacing w:val="10"/>
                <w:sz w:val="18"/>
                <w:szCs w:val="18"/>
              </w:rPr>
            </w:pPr>
          </w:p>
        </w:tc>
        <w:tc>
          <w:tcPr>
            <w:tcW w:w="5058" w:type="dxa"/>
            <w:vAlign w:val="center"/>
          </w:tcPr>
          <w:p w14:paraId="078F9245">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29EB27BA">
            <w:pPr>
              <w:pStyle w:val="10"/>
              <w:adjustRightInd w:val="0"/>
              <w:snapToGrid w:val="0"/>
              <w:ind w:firstLine="0" w:firstLineChars="0"/>
              <w:jc w:val="center"/>
              <w:rPr>
                <w:rFonts w:hAnsi="宋体" w:cs="宋体"/>
                <w:spacing w:val="10"/>
                <w:sz w:val="18"/>
                <w:szCs w:val="18"/>
              </w:rPr>
            </w:pPr>
          </w:p>
        </w:tc>
      </w:tr>
      <w:tr w14:paraId="49702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EB13106">
            <w:pPr>
              <w:pStyle w:val="10"/>
              <w:adjustRightInd w:val="0"/>
              <w:snapToGrid w:val="0"/>
              <w:ind w:firstLine="0" w:firstLineChars="0"/>
              <w:jc w:val="center"/>
              <w:rPr>
                <w:rFonts w:hAnsi="宋体" w:cs="宋体"/>
                <w:sz w:val="18"/>
                <w:szCs w:val="18"/>
              </w:rPr>
            </w:pPr>
          </w:p>
        </w:tc>
        <w:tc>
          <w:tcPr>
            <w:tcW w:w="1240" w:type="dxa"/>
            <w:vMerge w:val="continue"/>
            <w:vAlign w:val="center"/>
          </w:tcPr>
          <w:p w14:paraId="0EB26E3A">
            <w:pPr>
              <w:pStyle w:val="10"/>
              <w:adjustRightInd w:val="0"/>
              <w:snapToGrid w:val="0"/>
              <w:ind w:firstLine="0" w:firstLineChars="0"/>
              <w:rPr>
                <w:rFonts w:hAnsi="宋体" w:cs="宋体"/>
                <w:spacing w:val="10"/>
                <w:sz w:val="18"/>
                <w:szCs w:val="18"/>
              </w:rPr>
            </w:pPr>
          </w:p>
        </w:tc>
        <w:tc>
          <w:tcPr>
            <w:tcW w:w="5058" w:type="dxa"/>
            <w:vAlign w:val="center"/>
          </w:tcPr>
          <w:p w14:paraId="6E3B5FA4">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76D0F5BC">
            <w:pPr>
              <w:pStyle w:val="10"/>
              <w:adjustRightInd w:val="0"/>
              <w:snapToGrid w:val="0"/>
              <w:ind w:firstLine="0" w:firstLineChars="0"/>
              <w:jc w:val="center"/>
              <w:rPr>
                <w:rFonts w:hAnsi="宋体" w:cs="宋体"/>
                <w:spacing w:val="10"/>
                <w:sz w:val="18"/>
                <w:szCs w:val="18"/>
              </w:rPr>
            </w:pPr>
          </w:p>
        </w:tc>
      </w:tr>
      <w:tr w14:paraId="4BE3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DC26DF0">
            <w:pPr>
              <w:pStyle w:val="10"/>
              <w:adjustRightInd w:val="0"/>
              <w:snapToGrid w:val="0"/>
              <w:ind w:firstLine="0" w:firstLineChars="0"/>
              <w:jc w:val="center"/>
              <w:rPr>
                <w:rFonts w:hAnsi="宋体" w:cs="宋体"/>
                <w:sz w:val="18"/>
                <w:szCs w:val="18"/>
              </w:rPr>
            </w:pPr>
          </w:p>
        </w:tc>
        <w:tc>
          <w:tcPr>
            <w:tcW w:w="1240" w:type="dxa"/>
            <w:vMerge w:val="restart"/>
            <w:vAlign w:val="center"/>
          </w:tcPr>
          <w:p w14:paraId="570077BD">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47FE68B3">
            <w:pPr>
              <w:pStyle w:val="10"/>
              <w:adjustRightInd w:val="0"/>
              <w:snapToGrid w:val="0"/>
              <w:ind w:firstLine="0" w:firstLineChars="0"/>
              <w:rPr>
                <w:rFonts w:hAnsi="宋体" w:cs="宋体"/>
                <w:sz w:val="18"/>
                <w:szCs w:val="18"/>
              </w:rPr>
            </w:pPr>
            <w:r>
              <w:rPr>
                <w:rFonts w:hAnsi="宋体" w:cs="宋体"/>
                <w:sz w:val="18"/>
                <w:szCs w:val="18"/>
              </w:rPr>
              <w:t>延付高管薪酬影响银行收益波动性</w:t>
            </w:r>
          </w:p>
        </w:tc>
        <w:tc>
          <w:tcPr>
            <w:tcW w:w="1356" w:type="dxa"/>
            <w:vMerge w:val="continue"/>
            <w:vAlign w:val="center"/>
          </w:tcPr>
          <w:p w14:paraId="0603691B">
            <w:pPr>
              <w:pStyle w:val="10"/>
              <w:adjustRightInd w:val="0"/>
              <w:snapToGrid w:val="0"/>
              <w:ind w:firstLine="0" w:firstLineChars="0"/>
              <w:jc w:val="center"/>
              <w:rPr>
                <w:rFonts w:hAnsi="宋体" w:cs="宋体"/>
                <w:sz w:val="18"/>
                <w:szCs w:val="18"/>
              </w:rPr>
            </w:pPr>
          </w:p>
        </w:tc>
      </w:tr>
      <w:tr w14:paraId="382C7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2464459">
            <w:pPr>
              <w:pStyle w:val="10"/>
              <w:adjustRightInd w:val="0"/>
              <w:snapToGrid w:val="0"/>
              <w:ind w:firstLine="0" w:firstLineChars="0"/>
              <w:jc w:val="center"/>
              <w:rPr>
                <w:rFonts w:hAnsi="宋体" w:cs="宋体"/>
                <w:sz w:val="18"/>
                <w:szCs w:val="18"/>
              </w:rPr>
            </w:pPr>
          </w:p>
        </w:tc>
        <w:tc>
          <w:tcPr>
            <w:tcW w:w="1240" w:type="dxa"/>
            <w:vMerge w:val="continue"/>
            <w:vAlign w:val="center"/>
          </w:tcPr>
          <w:p w14:paraId="5CB8C41A">
            <w:pPr>
              <w:pStyle w:val="10"/>
              <w:adjustRightInd w:val="0"/>
              <w:snapToGrid w:val="0"/>
              <w:ind w:firstLine="0" w:firstLineChars="0"/>
              <w:rPr>
                <w:rFonts w:hAnsi="宋体" w:cs="宋体"/>
                <w:sz w:val="18"/>
                <w:szCs w:val="18"/>
              </w:rPr>
            </w:pPr>
          </w:p>
        </w:tc>
        <w:tc>
          <w:tcPr>
            <w:tcW w:w="5058" w:type="dxa"/>
            <w:vAlign w:val="center"/>
          </w:tcPr>
          <w:p w14:paraId="3747F503">
            <w:pPr>
              <w:pStyle w:val="10"/>
              <w:adjustRightInd w:val="0"/>
              <w:snapToGrid w:val="0"/>
              <w:ind w:firstLine="0" w:firstLineChars="0"/>
              <w:rPr>
                <w:rFonts w:hAnsi="宋体" w:cs="宋体"/>
                <w:sz w:val="18"/>
                <w:szCs w:val="18"/>
              </w:rPr>
            </w:pPr>
            <w:r>
              <w:rPr>
                <w:rFonts w:hAnsi="宋体" w:cs="宋体"/>
                <w:sz w:val="18"/>
                <w:szCs w:val="18"/>
              </w:rPr>
              <w:t>延付高管薪酬对银行盈余管理动机影响的DID实验</w:t>
            </w:r>
          </w:p>
        </w:tc>
        <w:tc>
          <w:tcPr>
            <w:tcW w:w="1356" w:type="dxa"/>
            <w:vMerge w:val="continue"/>
            <w:vAlign w:val="center"/>
          </w:tcPr>
          <w:p w14:paraId="5E8F3D38">
            <w:pPr>
              <w:pStyle w:val="10"/>
              <w:adjustRightInd w:val="0"/>
              <w:snapToGrid w:val="0"/>
              <w:ind w:firstLine="0" w:firstLineChars="0"/>
              <w:jc w:val="center"/>
              <w:rPr>
                <w:rFonts w:hAnsi="宋体" w:cs="宋体"/>
                <w:sz w:val="18"/>
                <w:szCs w:val="18"/>
              </w:rPr>
            </w:pPr>
          </w:p>
        </w:tc>
      </w:tr>
      <w:tr w14:paraId="44B5A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C1D3520">
            <w:pPr>
              <w:pStyle w:val="10"/>
              <w:adjustRightInd w:val="0"/>
              <w:snapToGrid w:val="0"/>
              <w:ind w:firstLine="0" w:firstLineChars="0"/>
              <w:jc w:val="center"/>
              <w:rPr>
                <w:rFonts w:hAnsi="宋体" w:cs="宋体"/>
                <w:sz w:val="18"/>
                <w:szCs w:val="18"/>
              </w:rPr>
            </w:pPr>
          </w:p>
        </w:tc>
        <w:tc>
          <w:tcPr>
            <w:tcW w:w="1240" w:type="dxa"/>
            <w:vMerge w:val="continue"/>
            <w:vAlign w:val="center"/>
          </w:tcPr>
          <w:p w14:paraId="278BD409">
            <w:pPr>
              <w:pStyle w:val="10"/>
              <w:adjustRightInd w:val="0"/>
              <w:snapToGrid w:val="0"/>
              <w:ind w:firstLine="0" w:firstLineChars="0"/>
              <w:rPr>
                <w:rFonts w:hAnsi="宋体" w:cs="宋体"/>
                <w:sz w:val="18"/>
                <w:szCs w:val="18"/>
              </w:rPr>
            </w:pPr>
          </w:p>
        </w:tc>
        <w:tc>
          <w:tcPr>
            <w:tcW w:w="5058" w:type="dxa"/>
            <w:vAlign w:val="center"/>
          </w:tcPr>
          <w:p w14:paraId="3A5214B8">
            <w:pPr>
              <w:pStyle w:val="10"/>
              <w:adjustRightInd w:val="0"/>
              <w:snapToGrid w:val="0"/>
              <w:ind w:firstLine="0" w:firstLineChars="0"/>
              <w:rPr>
                <w:rFonts w:hAnsi="宋体" w:cs="宋体"/>
                <w:sz w:val="18"/>
                <w:szCs w:val="18"/>
              </w:rPr>
            </w:pPr>
            <w:r>
              <w:rPr>
                <w:rFonts w:hAnsi="宋体" w:cs="宋体"/>
                <w:sz w:val="18"/>
                <w:szCs w:val="18"/>
                <w:lang w:bidi="ar"/>
              </w:rPr>
              <w:t>延付高管薪酬对银行收益波动性的动态边际影响效应</w:t>
            </w:r>
          </w:p>
        </w:tc>
        <w:tc>
          <w:tcPr>
            <w:tcW w:w="1356" w:type="dxa"/>
            <w:vMerge w:val="continue"/>
            <w:vAlign w:val="center"/>
          </w:tcPr>
          <w:p w14:paraId="79F19A33">
            <w:pPr>
              <w:pStyle w:val="10"/>
              <w:adjustRightInd w:val="0"/>
              <w:snapToGrid w:val="0"/>
              <w:ind w:firstLine="0" w:firstLineChars="0"/>
              <w:jc w:val="center"/>
              <w:rPr>
                <w:rFonts w:hAnsi="宋体" w:cs="宋体"/>
                <w:sz w:val="18"/>
                <w:szCs w:val="18"/>
              </w:rPr>
            </w:pPr>
          </w:p>
        </w:tc>
      </w:tr>
      <w:tr w14:paraId="03D70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716623B">
            <w:pPr>
              <w:pStyle w:val="10"/>
              <w:adjustRightInd w:val="0"/>
              <w:snapToGrid w:val="0"/>
              <w:ind w:firstLine="0" w:firstLineChars="0"/>
              <w:jc w:val="center"/>
              <w:rPr>
                <w:rFonts w:hAnsi="宋体" w:cs="宋体"/>
                <w:sz w:val="18"/>
                <w:szCs w:val="18"/>
              </w:rPr>
            </w:pPr>
          </w:p>
        </w:tc>
        <w:tc>
          <w:tcPr>
            <w:tcW w:w="1240" w:type="dxa"/>
            <w:vMerge w:val="continue"/>
            <w:vAlign w:val="center"/>
          </w:tcPr>
          <w:p w14:paraId="00C329EF">
            <w:pPr>
              <w:pStyle w:val="10"/>
              <w:adjustRightInd w:val="0"/>
              <w:snapToGrid w:val="0"/>
              <w:ind w:firstLine="0" w:firstLineChars="0"/>
              <w:rPr>
                <w:rFonts w:hAnsi="宋体" w:cs="宋体"/>
                <w:sz w:val="18"/>
                <w:szCs w:val="18"/>
              </w:rPr>
            </w:pPr>
          </w:p>
        </w:tc>
        <w:tc>
          <w:tcPr>
            <w:tcW w:w="5058" w:type="dxa"/>
            <w:vAlign w:val="center"/>
          </w:tcPr>
          <w:p w14:paraId="5A2C67A6">
            <w:pPr>
              <w:pStyle w:val="10"/>
              <w:adjustRightInd w:val="0"/>
              <w:snapToGrid w:val="0"/>
              <w:ind w:firstLine="0" w:firstLineChars="0"/>
              <w:rPr>
                <w:rFonts w:hAnsi="宋体" w:cs="宋体"/>
                <w:sz w:val="18"/>
                <w:szCs w:val="18"/>
              </w:rPr>
            </w:pPr>
            <w:r>
              <w:rPr>
                <w:rFonts w:hAnsi="宋体" w:cs="宋体"/>
                <w:sz w:val="18"/>
                <w:szCs w:val="18"/>
              </w:rPr>
              <w:t>2010年实施延付高管薪酬银行的匹配平衡检验结果（2010-2013）</w:t>
            </w:r>
          </w:p>
        </w:tc>
        <w:tc>
          <w:tcPr>
            <w:tcW w:w="1356" w:type="dxa"/>
            <w:vMerge w:val="continue"/>
            <w:vAlign w:val="center"/>
          </w:tcPr>
          <w:p w14:paraId="7491437D">
            <w:pPr>
              <w:pStyle w:val="10"/>
              <w:adjustRightInd w:val="0"/>
              <w:snapToGrid w:val="0"/>
              <w:ind w:firstLine="0" w:firstLineChars="0"/>
              <w:jc w:val="center"/>
              <w:rPr>
                <w:rFonts w:hAnsi="宋体" w:cs="宋体"/>
                <w:sz w:val="18"/>
                <w:szCs w:val="18"/>
              </w:rPr>
            </w:pPr>
          </w:p>
        </w:tc>
      </w:tr>
      <w:tr w14:paraId="1DE86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AEF59DB">
            <w:pPr>
              <w:pStyle w:val="10"/>
              <w:adjustRightInd w:val="0"/>
              <w:snapToGrid w:val="0"/>
              <w:ind w:firstLine="0" w:firstLineChars="0"/>
              <w:jc w:val="center"/>
              <w:rPr>
                <w:rFonts w:hAnsi="宋体" w:cs="宋体"/>
                <w:sz w:val="18"/>
                <w:szCs w:val="18"/>
              </w:rPr>
            </w:pPr>
          </w:p>
        </w:tc>
        <w:tc>
          <w:tcPr>
            <w:tcW w:w="1240" w:type="dxa"/>
            <w:vMerge w:val="continue"/>
            <w:vAlign w:val="center"/>
          </w:tcPr>
          <w:p w14:paraId="7B5708B6">
            <w:pPr>
              <w:pStyle w:val="10"/>
              <w:adjustRightInd w:val="0"/>
              <w:snapToGrid w:val="0"/>
              <w:ind w:firstLine="0" w:firstLineChars="0"/>
              <w:rPr>
                <w:rFonts w:hAnsi="宋体" w:cs="宋体"/>
                <w:sz w:val="18"/>
                <w:szCs w:val="18"/>
              </w:rPr>
            </w:pPr>
          </w:p>
        </w:tc>
        <w:tc>
          <w:tcPr>
            <w:tcW w:w="5058" w:type="dxa"/>
            <w:vAlign w:val="center"/>
          </w:tcPr>
          <w:p w14:paraId="54F62C85">
            <w:pPr>
              <w:pStyle w:val="10"/>
              <w:adjustRightInd w:val="0"/>
              <w:snapToGrid w:val="0"/>
              <w:ind w:firstLine="0" w:firstLineChars="0"/>
              <w:rPr>
                <w:rFonts w:hAnsi="宋体" w:cs="宋体"/>
                <w:sz w:val="18"/>
                <w:szCs w:val="18"/>
              </w:rPr>
            </w:pPr>
            <w:r>
              <w:rPr>
                <w:rFonts w:hAnsi="宋体" w:cs="宋体"/>
                <w:sz w:val="18"/>
                <w:szCs w:val="18"/>
              </w:rPr>
              <w:t>2010年实施延付高管薪酬银行的匹配平衡检验结果（2010-2012）</w:t>
            </w:r>
          </w:p>
        </w:tc>
        <w:tc>
          <w:tcPr>
            <w:tcW w:w="1356" w:type="dxa"/>
            <w:vMerge w:val="continue"/>
            <w:vAlign w:val="center"/>
          </w:tcPr>
          <w:p w14:paraId="0316D4A5">
            <w:pPr>
              <w:pStyle w:val="10"/>
              <w:adjustRightInd w:val="0"/>
              <w:snapToGrid w:val="0"/>
              <w:ind w:firstLine="0" w:firstLineChars="0"/>
              <w:jc w:val="center"/>
              <w:rPr>
                <w:rFonts w:hAnsi="宋体" w:cs="宋体"/>
                <w:sz w:val="18"/>
                <w:szCs w:val="18"/>
              </w:rPr>
            </w:pPr>
          </w:p>
        </w:tc>
      </w:tr>
      <w:tr w14:paraId="69D46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7E1183A">
            <w:pPr>
              <w:pStyle w:val="10"/>
              <w:adjustRightInd w:val="0"/>
              <w:snapToGrid w:val="0"/>
              <w:ind w:firstLine="0" w:firstLineChars="0"/>
              <w:jc w:val="center"/>
              <w:rPr>
                <w:rFonts w:hAnsi="宋体" w:cs="宋体"/>
                <w:sz w:val="18"/>
                <w:szCs w:val="18"/>
              </w:rPr>
            </w:pPr>
          </w:p>
        </w:tc>
        <w:tc>
          <w:tcPr>
            <w:tcW w:w="1240" w:type="dxa"/>
            <w:vMerge w:val="continue"/>
            <w:vAlign w:val="center"/>
          </w:tcPr>
          <w:p w14:paraId="116B53FF">
            <w:pPr>
              <w:pStyle w:val="10"/>
              <w:adjustRightInd w:val="0"/>
              <w:snapToGrid w:val="0"/>
              <w:ind w:firstLine="0" w:firstLineChars="0"/>
              <w:rPr>
                <w:rFonts w:hAnsi="宋体" w:cs="宋体"/>
                <w:sz w:val="18"/>
                <w:szCs w:val="18"/>
              </w:rPr>
            </w:pPr>
          </w:p>
        </w:tc>
        <w:tc>
          <w:tcPr>
            <w:tcW w:w="5058" w:type="dxa"/>
            <w:vAlign w:val="center"/>
          </w:tcPr>
          <w:p w14:paraId="5D8218E7">
            <w:pPr>
              <w:pStyle w:val="10"/>
              <w:adjustRightInd w:val="0"/>
              <w:snapToGrid w:val="0"/>
              <w:ind w:firstLine="0" w:firstLineChars="0"/>
              <w:rPr>
                <w:rFonts w:hAnsi="宋体" w:cs="宋体"/>
                <w:sz w:val="18"/>
                <w:szCs w:val="18"/>
              </w:rPr>
            </w:pPr>
            <w:r>
              <w:rPr>
                <w:rFonts w:hAnsi="宋体" w:cs="宋体"/>
                <w:sz w:val="18"/>
                <w:szCs w:val="18"/>
              </w:rPr>
              <w:t>延付高管薪酬影响银行收益波动性的稳健性检验（2010-2012年）—平均处理效应</w:t>
            </w:r>
          </w:p>
        </w:tc>
        <w:tc>
          <w:tcPr>
            <w:tcW w:w="1356" w:type="dxa"/>
            <w:vMerge w:val="continue"/>
            <w:vAlign w:val="center"/>
          </w:tcPr>
          <w:p w14:paraId="630249C1">
            <w:pPr>
              <w:pStyle w:val="10"/>
              <w:adjustRightInd w:val="0"/>
              <w:snapToGrid w:val="0"/>
              <w:ind w:firstLine="0" w:firstLineChars="0"/>
              <w:jc w:val="center"/>
              <w:rPr>
                <w:rFonts w:hAnsi="宋体" w:cs="宋体"/>
                <w:sz w:val="18"/>
                <w:szCs w:val="18"/>
              </w:rPr>
            </w:pPr>
          </w:p>
        </w:tc>
      </w:tr>
      <w:tr w14:paraId="5AC1C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4FDCE42">
            <w:pPr>
              <w:pStyle w:val="10"/>
              <w:adjustRightInd w:val="0"/>
              <w:snapToGrid w:val="0"/>
              <w:ind w:firstLine="0" w:firstLineChars="0"/>
              <w:jc w:val="center"/>
              <w:rPr>
                <w:rFonts w:hAnsi="宋体" w:cs="宋体"/>
                <w:sz w:val="18"/>
                <w:szCs w:val="18"/>
              </w:rPr>
            </w:pPr>
          </w:p>
        </w:tc>
        <w:tc>
          <w:tcPr>
            <w:tcW w:w="1240" w:type="dxa"/>
            <w:vMerge w:val="continue"/>
            <w:vAlign w:val="center"/>
          </w:tcPr>
          <w:p w14:paraId="67DE70BF">
            <w:pPr>
              <w:pStyle w:val="10"/>
              <w:adjustRightInd w:val="0"/>
              <w:snapToGrid w:val="0"/>
              <w:ind w:firstLine="0" w:firstLineChars="0"/>
              <w:rPr>
                <w:rFonts w:hAnsi="宋体" w:cs="宋体"/>
                <w:sz w:val="18"/>
                <w:szCs w:val="18"/>
              </w:rPr>
            </w:pPr>
          </w:p>
        </w:tc>
        <w:tc>
          <w:tcPr>
            <w:tcW w:w="5058" w:type="dxa"/>
            <w:vAlign w:val="center"/>
          </w:tcPr>
          <w:p w14:paraId="5B98471F">
            <w:pPr>
              <w:pStyle w:val="10"/>
              <w:adjustRightInd w:val="0"/>
              <w:snapToGrid w:val="0"/>
              <w:ind w:firstLine="0" w:firstLineChars="0"/>
              <w:rPr>
                <w:rFonts w:hAnsi="宋体" w:cs="宋体"/>
                <w:sz w:val="18"/>
                <w:szCs w:val="18"/>
              </w:rPr>
            </w:pPr>
            <w:r>
              <w:rPr>
                <w:rFonts w:hAnsi="宋体" w:cs="宋体"/>
                <w:sz w:val="18"/>
                <w:szCs w:val="18"/>
              </w:rPr>
              <w:t>延付高管薪酬对银行收益波动性的动态边际影响效应（2010-2012年）</w:t>
            </w:r>
          </w:p>
        </w:tc>
        <w:tc>
          <w:tcPr>
            <w:tcW w:w="1356" w:type="dxa"/>
            <w:vMerge w:val="continue"/>
            <w:vAlign w:val="center"/>
          </w:tcPr>
          <w:p w14:paraId="7BED5423">
            <w:pPr>
              <w:pStyle w:val="10"/>
              <w:adjustRightInd w:val="0"/>
              <w:snapToGrid w:val="0"/>
              <w:ind w:firstLine="0" w:firstLineChars="0"/>
              <w:jc w:val="center"/>
              <w:rPr>
                <w:rFonts w:hAnsi="宋体" w:cs="宋体"/>
                <w:sz w:val="18"/>
                <w:szCs w:val="18"/>
              </w:rPr>
            </w:pPr>
          </w:p>
        </w:tc>
      </w:tr>
      <w:tr w14:paraId="3692F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71A5AA3">
            <w:pPr>
              <w:pStyle w:val="10"/>
              <w:adjustRightInd w:val="0"/>
              <w:snapToGrid w:val="0"/>
              <w:ind w:firstLine="0" w:firstLineChars="0"/>
              <w:jc w:val="center"/>
              <w:rPr>
                <w:rFonts w:hAnsi="宋体" w:cs="宋体"/>
                <w:sz w:val="18"/>
                <w:szCs w:val="18"/>
              </w:rPr>
            </w:pPr>
          </w:p>
        </w:tc>
        <w:tc>
          <w:tcPr>
            <w:tcW w:w="1240" w:type="dxa"/>
            <w:vMerge w:val="continue"/>
            <w:vAlign w:val="center"/>
          </w:tcPr>
          <w:p w14:paraId="2913F948">
            <w:pPr>
              <w:pStyle w:val="10"/>
              <w:adjustRightInd w:val="0"/>
              <w:snapToGrid w:val="0"/>
              <w:ind w:firstLine="0" w:firstLineChars="0"/>
              <w:rPr>
                <w:rFonts w:hAnsi="宋体" w:cs="宋体"/>
                <w:sz w:val="18"/>
                <w:szCs w:val="18"/>
              </w:rPr>
            </w:pPr>
          </w:p>
        </w:tc>
        <w:tc>
          <w:tcPr>
            <w:tcW w:w="5058" w:type="dxa"/>
            <w:vAlign w:val="center"/>
          </w:tcPr>
          <w:p w14:paraId="7E4EFF5E">
            <w:pPr>
              <w:pStyle w:val="10"/>
              <w:adjustRightInd w:val="0"/>
              <w:snapToGrid w:val="0"/>
              <w:ind w:firstLine="0" w:firstLineChars="0"/>
              <w:rPr>
                <w:rFonts w:hAnsi="宋体" w:cs="宋体"/>
                <w:sz w:val="18"/>
                <w:szCs w:val="18"/>
              </w:rPr>
            </w:pPr>
            <w:r>
              <w:rPr>
                <w:rFonts w:hAnsi="宋体" w:cs="宋体"/>
                <w:sz w:val="18"/>
                <w:szCs w:val="18"/>
              </w:rPr>
              <w:t>延付高管薪酬对银行盈余管理动机影响的稳健性检验（2010-2012 年）</w:t>
            </w:r>
          </w:p>
        </w:tc>
        <w:tc>
          <w:tcPr>
            <w:tcW w:w="1356" w:type="dxa"/>
            <w:vMerge w:val="continue"/>
            <w:vAlign w:val="center"/>
          </w:tcPr>
          <w:p w14:paraId="37A7AC8A">
            <w:pPr>
              <w:pStyle w:val="10"/>
              <w:adjustRightInd w:val="0"/>
              <w:snapToGrid w:val="0"/>
              <w:ind w:firstLine="0" w:firstLineChars="0"/>
              <w:jc w:val="center"/>
              <w:rPr>
                <w:rFonts w:hAnsi="宋体" w:cs="宋体"/>
                <w:sz w:val="18"/>
                <w:szCs w:val="18"/>
              </w:rPr>
            </w:pPr>
          </w:p>
        </w:tc>
      </w:tr>
      <w:tr w14:paraId="2EB2E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F79CB3C">
            <w:pPr>
              <w:pStyle w:val="10"/>
              <w:adjustRightInd w:val="0"/>
              <w:snapToGrid w:val="0"/>
              <w:ind w:firstLine="0" w:firstLineChars="0"/>
              <w:jc w:val="center"/>
              <w:rPr>
                <w:rFonts w:hAnsi="宋体" w:cs="宋体"/>
                <w:sz w:val="18"/>
                <w:szCs w:val="18"/>
              </w:rPr>
            </w:pPr>
          </w:p>
        </w:tc>
        <w:tc>
          <w:tcPr>
            <w:tcW w:w="1240" w:type="dxa"/>
            <w:vMerge w:val="continue"/>
            <w:vAlign w:val="center"/>
          </w:tcPr>
          <w:p w14:paraId="3E7697AF">
            <w:pPr>
              <w:pStyle w:val="10"/>
              <w:adjustRightInd w:val="0"/>
              <w:snapToGrid w:val="0"/>
              <w:ind w:firstLine="0" w:firstLineChars="0"/>
              <w:rPr>
                <w:rFonts w:hAnsi="宋体" w:cs="宋体"/>
                <w:sz w:val="18"/>
                <w:szCs w:val="18"/>
              </w:rPr>
            </w:pPr>
          </w:p>
        </w:tc>
        <w:tc>
          <w:tcPr>
            <w:tcW w:w="5058" w:type="dxa"/>
            <w:vAlign w:val="center"/>
          </w:tcPr>
          <w:p w14:paraId="66A5FB13">
            <w:pPr>
              <w:pStyle w:val="10"/>
              <w:adjustRightInd w:val="0"/>
              <w:snapToGrid w:val="0"/>
              <w:ind w:firstLine="0" w:firstLineChars="0"/>
              <w:rPr>
                <w:rFonts w:hAnsi="宋体" w:cs="宋体"/>
                <w:sz w:val="18"/>
                <w:szCs w:val="18"/>
              </w:rPr>
            </w:pPr>
            <w:r>
              <w:rPr>
                <w:rFonts w:hAnsi="宋体" w:cs="宋体"/>
                <w:sz w:val="18"/>
                <w:szCs w:val="18"/>
              </w:rPr>
              <w:t>延付高管薪酬影响银行收益波动性的稳健性检验（2010-2012年）—平均处理效应</w:t>
            </w:r>
          </w:p>
        </w:tc>
        <w:tc>
          <w:tcPr>
            <w:tcW w:w="1356" w:type="dxa"/>
            <w:vMerge w:val="continue"/>
            <w:vAlign w:val="center"/>
          </w:tcPr>
          <w:p w14:paraId="089DF454">
            <w:pPr>
              <w:pStyle w:val="10"/>
              <w:adjustRightInd w:val="0"/>
              <w:snapToGrid w:val="0"/>
              <w:ind w:firstLine="0" w:firstLineChars="0"/>
              <w:jc w:val="center"/>
              <w:rPr>
                <w:rFonts w:hAnsi="宋体" w:cs="宋体"/>
                <w:sz w:val="18"/>
                <w:szCs w:val="18"/>
              </w:rPr>
            </w:pPr>
          </w:p>
        </w:tc>
      </w:tr>
      <w:tr w14:paraId="3678B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06CA5F1">
            <w:pPr>
              <w:pStyle w:val="10"/>
              <w:adjustRightInd w:val="0"/>
              <w:snapToGrid w:val="0"/>
              <w:ind w:firstLine="0" w:firstLineChars="0"/>
              <w:jc w:val="center"/>
              <w:rPr>
                <w:rFonts w:hAnsi="宋体" w:cs="宋体"/>
                <w:sz w:val="18"/>
                <w:szCs w:val="18"/>
              </w:rPr>
            </w:pPr>
          </w:p>
        </w:tc>
        <w:tc>
          <w:tcPr>
            <w:tcW w:w="1240" w:type="dxa"/>
            <w:vMerge w:val="continue"/>
            <w:vAlign w:val="center"/>
          </w:tcPr>
          <w:p w14:paraId="0326C69A">
            <w:pPr>
              <w:pStyle w:val="10"/>
              <w:adjustRightInd w:val="0"/>
              <w:snapToGrid w:val="0"/>
              <w:ind w:firstLine="0" w:firstLineChars="0"/>
              <w:rPr>
                <w:rFonts w:hAnsi="宋体" w:cs="宋体"/>
                <w:sz w:val="18"/>
                <w:szCs w:val="18"/>
              </w:rPr>
            </w:pPr>
          </w:p>
        </w:tc>
        <w:tc>
          <w:tcPr>
            <w:tcW w:w="5058" w:type="dxa"/>
            <w:vAlign w:val="center"/>
          </w:tcPr>
          <w:p w14:paraId="019DB054">
            <w:pPr>
              <w:pStyle w:val="10"/>
              <w:adjustRightInd w:val="0"/>
              <w:snapToGrid w:val="0"/>
              <w:ind w:firstLine="0" w:firstLineChars="0"/>
              <w:rPr>
                <w:rFonts w:hAnsi="宋体" w:cs="宋体"/>
                <w:sz w:val="18"/>
                <w:szCs w:val="18"/>
              </w:rPr>
            </w:pPr>
            <w:r>
              <w:rPr>
                <w:rFonts w:hAnsi="宋体" w:cs="宋体"/>
                <w:sz w:val="18"/>
                <w:szCs w:val="18"/>
              </w:rPr>
              <w:t>延付高管薪酬影响银行收益波动性的稳健性检验</w:t>
            </w:r>
          </w:p>
        </w:tc>
        <w:tc>
          <w:tcPr>
            <w:tcW w:w="1356" w:type="dxa"/>
            <w:vMerge w:val="continue"/>
            <w:vAlign w:val="center"/>
          </w:tcPr>
          <w:p w14:paraId="19824AB5">
            <w:pPr>
              <w:pStyle w:val="10"/>
              <w:adjustRightInd w:val="0"/>
              <w:snapToGrid w:val="0"/>
              <w:ind w:firstLine="0" w:firstLineChars="0"/>
              <w:jc w:val="center"/>
              <w:rPr>
                <w:rFonts w:hAnsi="宋体" w:cs="宋体"/>
                <w:sz w:val="18"/>
                <w:szCs w:val="18"/>
              </w:rPr>
            </w:pPr>
          </w:p>
        </w:tc>
      </w:tr>
      <w:tr w14:paraId="0E9A4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F2F17BB">
            <w:pPr>
              <w:pStyle w:val="10"/>
              <w:adjustRightInd w:val="0"/>
              <w:snapToGrid w:val="0"/>
              <w:ind w:firstLine="0" w:firstLineChars="0"/>
              <w:jc w:val="center"/>
              <w:rPr>
                <w:rFonts w:hAnsi="宋体" w:cs="宋体"/>
                <w:sz w:val="18"/>
                <w:szCs w:val="18"/>
              </w:rPr>
            </w:pPr>
          </w:p>
        </w:tc>
        <w:tc>
          <w:tcPr>
            <w:tcW w:w="1240" w:type="dxa"/>
            <w:vMerge w:val="continue"/>
            <w:vAlign w:val="center"/>
          </w:tcPr>
          <w:p w14:paraId="5CAE3274">
            <w:pPr>
              <w:pStyle w:val="10"/>
              <w:adjustRightInd w:val="0"/>
              <w:snapToGrid w:val="0"/>
              <w:ind w:firstLine="0" w:firstLineChars="0"/>
              <w:rPr>
                <w:rFonts w:hAnsi="宋体" w:cs="宋体"/>
                <w:sz w:val="18"/>
                <w:szCs w:val="18"/>
              </w:rPr>
            </w:pPr>
          </w:p>
        </w:tc>
        <w:tc>
          <w:tcPr>
            <w:tcW w:w="5058" w:type="dxa"/>
            <w:vAlign w:val="center"/>
          </w:tcPr>
          <w:p w14:paraId="21D27DF5">
            <w:pPr>
              <w:pStyle w:val="10"/>
              <w:adjustRightInd w:val="0"/>
              <w:snapToGrid w:val="0"/>
              <w:ind w:firstLine="0" w:firstLineChars="0"/>
              <w:rPr>
                <w:rFonts w:hAnsi="宋体" w:cs="宋体"/>
                <w:sz w:val="18"/>
                <w:szCs w:val="18"/>
              </w:rPr>
            </w:pPr>
            <w:r>
              <w:rPr>
                <w:rFonts w:hAnsi="宋体" w:cs="宋体"/>
                <w:sz w:val="18"/>
                <w:szCs w:val="18"/>
              </w:rPr>
              <w:t>延付高管薪酬对银行盈余管理动机影响的稳健性检验（2010-2011 年）</w:t>
            </w:r>
          </w:p>
        </w:tc>
        <w:tc>
          <w:tcPr>
            <w:tcW w:w="1356" w:type="dxa"/>
            <w:vMerge w:val="continue"/>
            <w:vAlign w:val="center"/>
          </w:tcPr>
          <w:p w14:paraId="2336F679">
            <w:pPr>
              <w:pStyle w:val="10"/>
              <w:adjustRightInd w:val="0"/>
              <w:snapToGrid w:val="0"/>
              <w:ind w:firstLine="0" w:firstLineChars="0"/>
              <w:jc w:val="center"/>
              <w:rPr>
                <w:rFonts w:hAnsi="宋体" w:cs="宋体"/>
                <w:sz w:val="18"/>
                <w:szCs w:val="18"/>
              </w:rPr>
            </w:pPr>
          </w:p>
        </w:tc>
      </w:tr>
      <w:tr w14:paraId="11C8E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03A9263">
            <w:pPr>
              <w:pStyle w:val="10"/>
              <w:adjustRightInd w:val="0"/>
              <w:snapToGrid w:val="0"/>
              <w:ind w:firstLine="0" w:firstLineChars="0"/>
              <w:jc w:val="center"/>
              <w:rPr>
                <w:rFonts w:hAnsi="宋体" w:cs="宋体"/>
                <w:sz w:val="18"/>
                <w:szCs w:val="18"/>
              </w:rPr>
            </w:pPr>
          </w:p>
        </w:tc>
        <w:tc>
          <w:tcPr>
            <w:tcW w:w="1240" w:type="dxa"/>
            <w:vMerge w:val="restart"/>
            <w:vAlign w:val="center"/>
          </w:tcPr>
          <w:p w14:paraId="720EC3B1">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3B765470">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45921F55">
            <w:pPr>
              <w:pStyle w:val="10"/>
              <w:adjustRightInd w:val="0"/>
              <w:snapToGrid w:val="0"/>
              <w:ind w:firstLine="0" w:firstLineChars="0"/>
              <w:jc w:val="center"/>
              <w:rPr>
                <w:rFonts w:hAnsi="宋体" w:cs="宋体"/>
                <w:sz w:val="18"/>
                <w:szCs w:val="18"/>
              </w:rPr>
            </w:pPr>
          </w:p>
        </w:tc>
      </w:tr>
      <w:tr w14:paraId="26C16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357C25D">
            <w:pPr>
              <w:pStyle w:val="10"/>
              <w:adjustRightInd w:val="0"/>
              <w:snapToGrid w:val="0"/>
              <w:ind w:firstLine="0" w:firstLineChars="0"/>
              <w:jc w:val="center"/>
              <w:rPr>
                <w:rFonts w:hAnsi="宋体" w:cs="宋体"/>
                <w:sz w:val="18"/>
                <w:szCs w:val="18"/>
              </w:rPr>
            </w:pPr>
          </w:p>
        </w:tc>
        <w:tc>
          <w:tcPr>
            <w:tcW w:w="1240" w:type="dxa"/>
            <w:vMerge w:val="continue"/>
            <w:vAlign w:val="center"/>
          </w:tcPr>
          <w:p w14:paraId="38C860C6">
            <w:pPr>
              <w:pStyle w:val="10"/>
              <w:adjustRightInd w:val="0"/>
              <w:snapToGrid w:val="0"/>
              <w:ind w:firstLine="0" w:firstLineChars="0"/>
              <w:rPr>
                <w:rFonts w:hAnsi="宋体" w:cs="宋体"/>
                <w:sz w:val="18"/>
                <w:szCs w:val="18"/>
              </w:rPr>
            </w:pPr>
          </w:p>
        </w:tc>
        <w:tc>
          <w:tcPr>
            <w:tcW w:w="5058" w:type="dxa"/>
            <w:vAlign w:val="center"/>
          </w:tcPr>
          <w:p w14:paraId="7A35507C">
            <w:pPr>
              <w:pStyle w:val="10"/>
              <w:adjustRightInd w:val="0"/>
              <w:snapToGrid w:val="0"/>
              <w:ind w:firstLine="0" w:firstLineChars="0"/>
              <w:rPr>
                <w:rFonts w:hAnsi="宋体" w:cs="宋体"/>
                <w:spacing w:val="10"/>
                <w:sz w:val="18"/>
                <w:szCs w:val="18"/>
              </w:rPr>
            </w:pPr>
            <w:r>
              <w:rPr>
                <w:rFonts w:hAnsi="宋体" w:cs="宋体"/>
                <w:spacing w:val="10"/>
                <w:sz w:val="18"/>
                <w:szCs w:val="18"/>
              </w:rPr>
              <w:t>总结倾向得分匹配+双重差分建模技巧与论文写作技巧</w:t>
            </w:r>
          </w:p>
        </w:tc>
        <w:tc>
          <w:tcPr>
            <w:tcW w:w="1356" w:type="dxa"/>
            <w:vMerge w:val="continue"/>
            <w:vAlign w:val="center"/>
          </w:tcPr>
          <w:p w14:paraId="6A5DACF7">
            <w:pPr>
              <w:pStyle w:val="10"/>
              <w:adjustRightInd w:val="0"/>
              <w:snapToGrid w:val="0"/>
              <w:ind w:firstLine="0" w:firstLineChars="0"/>
              <w:jc w:val="center"/>
              <w:rPr>
                <w:rFonts w:hAnsi="宋体" w:cs="宋体"/>
                <w:sz w:val="18"/>
                <w:szCs w:val="18"/>
              </w:rPr>
            </w:pPr>
          </w:p>
        </w:tc>
      </w:tr>
    </w:tbl>
    <w:p w14:paraId="6575E69A">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5" w:name="_Toc7613"/>
      <w:r>
        <w:rPr>
          <w:rFonts w:hint="eastAsia" w:ascii="宋体" w:hAnsi="宋体" w:cs="宋体"/>
          <w:sz w:val="21"/>
          <w:szCs w:val="21"/>
        </w:rPr>
        <w:t>双重差分+三重差分（排污权交易机制是否提高了企业全要素生产率——来自中国上市公司的证据）</w:t>
      </w:r>
      <w:bookmarkEnd w:id="35"/>
    </w:p>
    <w:p w14:paraId="771C8E83">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1D943F5D">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11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03158F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5B4F8B5B">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15A20138">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4C4851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6D1D80B2">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1FDF157E">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2BD2F5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0D721798">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6CFFC91B">
            <w:pPr>
              <w:pStyle w:val="10"/>
              <w:adjustRightInd w:val="0"/>
              <w:snapToGrid w:val="0"/>
              <w:ind w:firstLine="0" w:firstLineChars="0"/>
              <w:jc w:val="left"/>
              <w:rPr>
                <w:rFonts w:hAnsi="宋体" w:cs="宋体"/>
                <w:sz w:val="18"/>
                <w:szCs w:val="18"/>
              </w:rPr>
            </w:pPr>
            <w:r>
              <w:rPr>
                <w:rFonts w:hAnsi="宋体" w:cs="宋体"/>
                <w:sz w:val="18"/>
                <w:szCs w:val="18"/>
              </w:rPr>
              <w:t>包含8份实训指导书、3份数据、1份论文仿写设计报告模板。</w:t>
            </w:r>
          </w:p>
        </w:tc>
      </w:tr>
      <w:tr w14:paraId="4E6BE0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57104226">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25C695C1">
            <w:pPr>
              <w:pStyle w:val="10"/>
              <w:adjustRightInd w:val="0"/>
              <w:snapToGrid w:val="0"/>
              <w:ind w:firstLine="0" w:firstLineChars="0"/>
              <w:jc w:val="left"/>
              <w:rPr>
                <w:rFonts w:hAnsi="宋体" w:cs="宋体"/>
                <w:sz w:val="18"/>
                <w:szCs w:val="18"/>
              </w:rPr>
            </w:pPr>
            <w:r>
              <w:rPr>
                <w:rFonts w:hAnsi="宋体" w:cs="宋体"/>
                <w:sz w:val="18"/>
                <w:szCs w:val="18"/>
              </w:rPr>
              <w:t>高效掌握双重差分+三重差分模型建模技巧与论文写作技巧</w:t>
            </w:r>
          </w:p>
        </w:tc>
      </w:tr>
      <w:tr w14:paraId="6761AD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1B9C3AEB">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538D1B6B">
            <w:pPr>
              <w:pStyle w:val="10"/>
              <w:adjustRightInd w:val="0"/>
              <w:snapToGrid w:val="0"/>
              <w:ind w:firstLine="0" w:firstLineChars="0"/>
              <w:jc w:val="left"/>
              <w:rPr>
                <w:rFonts w:hAnsi="宋体" w:cs="宋体"/>
                <w:sz w:val="18"/>
                <w:szCs w:val="18"/>
              </w:rPr>
            </w:pPr>
            <w:r>
              <w:rPr>
                <w:rFonts w:hAnsi="宋体" w:cs="宋体"/>
                <w:sz w:val="18"/>
                <w:szCs w:val="18"/>
              </w:rPr>
              <w:t>排污权交易机制是否提高了企业全要素生产率——来自中国上市公司的证据</w:t>
            </w:r>
          </w:p>
        </w:tc>
      </w:tr>
    </w:tbl>
    <w:p w14:paraId="29530BA5">
      <w:pPr>
        <w:adjustRightInd w:val="0"/>
        <w:snapToGrid w:val="0"/>
        <w:ind w:firstLine="420"/>
        <w:jc w:val="left"/>
        <w:rPr>
          <w:rFonts w:hint="eastAsia" w:ascii="宋体" w:hAnsi="宋体" w:cs="宋体"/>
          <w:sz w:val="21"/>
          <w:szCs w:val="21"/>
        </w:rPr>
      </w:pPr>
      <w:r>
        <w:rPr>
          <w:rFonts w:ascii="宋体" w:hAnsi="宋体" w:cs="宋体"/>
          <w:sz w:val="21"/>
          <w:szCs w:val="21"/>
        </w:rPr>
        <w:t>双重差分模型（Difference-in-Differences, DID）是一种用于评估政策或干预措施效果的计量经济学方法。其核心思想是通过比较处理组和对照组在政策实施前后的变化差异，识别因果关系。</w:t>
      </w:r>
    </w:p>
    <w:p w14:paraId="71F28690">
      <w:pPr>
        <w:adjustRightInd w:val="0"/>
        <w:snapToGrid w:val="0"/>
        <w:ind w:firstLine="420"/>
        <w:jc w:val="left"/>
        <w:rPr>
          <w:rFonts w:hint="eastAsia" w:ascii="宋体" w:hAnsi="宋体" w:cs="宋体"/>
          <w:sz w:val="21"/>
          <w:szCs w:val="21"/>
        </w:rPr>
      </w:pPr>
      <w:r>
        <w:rPr>
          <w:rFonts w:hint="eastAsia" w:ascii="宋体" w:hAnsi="宋体" w:cs="宋体"/>
          <w:sz w:val="21"/>
          <w:szCs w:val="21"/>
        </w:rPr>
        <w:t>三重差分模型（Difference-in-Differences-in-Differences, DDD）是DID的扩展，适用于处理组和对照组在不同子群体间存在异质性影响的场景。其核心思想是通过引入第三重差分（子群体维度），进一步控制混杂因素。</w:t>
      </w:r>
    </w:p>
    <w:p w14:paraId="0021496A">
      <w:pPr>
        <w:adjustRightInd w:val="0"/>
        <w:snapToGrid w:val="0"/>
        <w:ind w:firstLine="420"/>
        <w:jc w:val="left"/>
        <w:rPr>
          <w:rFonts w:hint="eastAsia" w:ascii="宋体" w:hAnsi="宋体" w:cs="宋体"/>
          <w:sz w:val="21"/>
          <w:szCs w:val="21"/>
        </w:rPr>
      </w:pPr>
      <w:r>
        <w:rPr>
          <w:rFonts w:hint="eastAsia" w:ascii="宋体" w:hAnsi="宋体" w:cs="宋体"/>
          <w:sz w:val="21"/>
          <w:szCs w:val="21"/>
        </w:rPr>
        <w:t>双重差分（DID）与三重差分（DDD）的优势与局限性</w:t>
      </w:r>
    </w:p>
    <w:p w14:paraId="180A07CE">
      <w:pPr>
        <w:adjustRightInd w:val="0"/>
        <w:snapToGrid w:val="0"/>
        <w:ind w:firstLine="420"/>
        <w:jc w:val="left"/>
        <w:rPr>
          <w:rFonts w:hint="eastAsia" w:ascii="宋体" w:hAnsi="宋体" w:cs="宋体"/>
          <w:sz w:val="21"/>
          <w:szCs w:val="21"/>
        </w:rPr>
      </w:pPr>
      <w:r>
        <w:rPr>
          <w:rFonts w:hint="eastAsia" w:ascii="宋体" w:hAnsi="宋体" w:cs="宋体"/>
          <w:sz w:val="21"/>
          <w:szCs w:val="21"/>
        </w:rPr>
        <w:t>因果推断能力强：通过对比处理组和对照组在政策实施前后的变化，识别政策的净效应。</w:t>
      </w:r>
    </w:p>
    <w:p w14:paraId="53DA2854">
      <w:pPr>
        <w:adjustRightInd w:val="0"/>
        <w:snapToGrid w:val="0"/>
        <w:ind w:firstLine="420"/>
        <w:jc w:val="left"/>
        <w:rPr>
          <w:rFonts w:hint="eastAsia" w:ascii="宋体" w:hAnsi="宋体" w:cs="宋体"/>
          <w:sz w:val="21"/>
          <w:szCs w:val="21"/>
        </w:rPr>
      </w:pPr>
      <w:r>
        <w:rPr>
          <w:rFonts w:hint="eastAsia" w:ascii="宋体" w:hAnsi="宋体" w:cs="宋体"/>
          <w:sz w:val="21"/>
          <w:szCs w:val="21"/>
        </w:rPr>
        <w:t>灵活性：DID适用于单一政策评估，DDD适用于异质性政策效果评估。</w:t>
      </w:r>
    </w:p>
    <w:p w14:paraId="7349F317">
      <w:pPr>
        <w:adjustRightInd w:val="0"/>
        <w:snapToGrid w:val="0"/>
        <w:ind w:firstLine="420"/>
        <w:jc w:val="left"/>
        <w:rPr>
          <w:rFonts w:hint="eastAsia" w:ascii="宋体" w:hAnsi="宋体" w:cs="宋体"/>
          <w:sz w:val="21"/>
          <w:szCs w:val="21"/>
        </w:rPr>
      </w:pPr>
      <w:r>
        <w:rPr>
          <w:rFonts w:hint="eastAsia" w:ascii="宋体" w:hAnsi="宋体" w:cs="宋体"/>
          <w:sz w:val="21"/>
          <w:szCs w:val="21"/>
        </w:rPr>
        <w:t>控制混杂因素：DID通过双重差分控制时间趋势和个体差异，DDD通过三重差分进一步控制子群体差异。</w:t>
      </w:r>
    </w:p>
    <w:p w14:paraId="76FF9DD5">
      <w:pPr>
        <w:adjustRightInd w:val="0"/>
        <w:snapToGrid w:val="0"/>
        <w:ind w:firstLine="420"/>
        <w:jc w:val="left"/>
        <w:rPr>
          <w:rFonts w:hint="eastAsia" w:ascii="宋体" w:hAnsi="宋体" w:cs="宋体"/>
          <w:sz w:val="21"/>
          <w:szCs w:val="21"/>
        </w:rPr>
      </w:pPr>
      <w:r>
        <w:rPr>
          <w:rFonts w:hint="eastAsia" w:ascii="宋体" w:hAnsi="宋体" w:cs="宋体"/>
          <w:sz w:val="21"/>
          <w:szCs w:val="21"/>
        </w:rPr>
        <w:t>平行趋势假设严格：需检验处理组和对照组在政策实施前的趋势是否一致，否则可能导致估计偏差。</w:t>
      </w:r>
    </w:p>
    <w:p w14:paraId="4756E48C">
      <w:pPr>
        <w:adjustRightInd w:val="0"/>
        <w:snapToGrid w:val="0"/>
        <w:ind w:firstLine="420"/>
        <w:jc w:val="left"/>
        <w:rPr>
          <w:rFonts w:hint="eastAsia" w:ascii="宋体" w:hAnsi="宋体" w:cs="宋体"/>
          <w:sz w:val="21"/>
          <w:szCs w:val="21"/>
        </w:rPr>
      </w:pPr>
      <w:r>
        <w:rPr>
          <w:rFonts w:hint="eastAsia" w:ascii="宋体" w:hAnsi="宋体" w:cs="宋体"/>
          <w:sz w:val="21"/>
          <w:szCs w:val="21"/>
        </w:rPr>
        <w:t>数据要求高：需要较长时间的面板数据（干预前后均有足够观测值）。</w:t>
      </w:r>
    </w:p>
    <w:p w14:paraId="6B8AA58D">
      <w:pPr>
        <w:adjustRightInd w:val="0"/>
        <w:snapToGrid w:val="0"/>
        <w:ind w:firstLine="420"/>
        <w:jc w:val="left"/>
        <w:rPr>
          <w:rFonts w:hint="eastAsia" w:ascii="宋体" w:hAnsi="宋体" w:cs="宋体"/>
          <w:sz w:val="21"/>
          <w:szCs w:val="21"/>
        </w:rPr>
      </w:pPr>
      <w:r>
        <w:rPr>
          <w:rFonts w:hint="eastAsia" w:ascii="宋体" w:hAnsi="宋体" w:cs="宋体"/>
          <w:sz w:val="21"/>
          <w:szCs w:val="21"/>
        </w:rPr>
        <w:t>混杂事件干扰：若研究期内发生其他重大事件，可能干扰政策效果的识别。</w:t>
      </w:r>
    </w:p>
    <w:p w14:paraId="06DD3D9D">
      <w:pPr>
        <w:adjustRightInd w:val="0"/>
        <w:snapToGrid w:val="0"/>
        <w:ind w:firstLine="420"/>
        <w:jc w:val="left"/>
        <w:rPr>
          <w:rFonts w:hint="eastAsia"/>
        </w:rPr>
      </w:pPr>
      <w:r>
        <w:rPr>
          <w:rFonts w:hint="eastAsia" w:ascii="宋体" w:hAnsi="宋体" w:cs="宋体"/>
          <w:sz w:val="21"/>
          <w:szCs w:val="21"/>
        </w:rPr>
        <w:t>双重差分（DID）和三重差分（DDD）是强大的工具，适用于评估政策或干预措施的效果，尤其在政策评估、公共卫生干预、教育政策研究等领域具有重要应用价值。DID适用于单一政策评估，而DDD适用于异质性政策效果评估。在实际应用中，需合理选择处理组和对照组，检验平行趋势假设，并通过稳健性分析确保结果的可靠性。</w:t>
      </w:r>
    </w:p>
    <w:p w14:paraId="28DB6F89">
      <w:pPr>
        <w:pStyle w:val="2"/>
        <w:ind w:left="0" w:leftChars="0" w:firstLine="0" w:firstLineChars="0"/>
        <w:rPr>
          <w:rFonts w:hint="eastAsia"/>
        </w:rPr>
      </w:pPr>
      <w:r>
        <w:drawing>
          <wp:inline distT="0" distB="0" distL="114300" distR="114300">
            <wp:extent cx="5271770" cy="3919855"/>
            <wp:effectExtent l="0" t="0" r="11430" b="444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2"/>
                    <a:stretch>
                      <a:fillRect/>
                    </a:stretch>
                  </pic:blipFill>
                  <pic:spPr>
                    <a:xfrm>
                      <a:off x="0" y="0"/>
                      <a:ext cx="5271770" cy="3919855"/>
                    </a:xfrm>
                    <a:prstGeom prst="rect">
                      <a:avLst/>
                    </a:prstGeom>
                    <a:noFill/>
                    <a:ln>
                      <a:noFill/>
                    </a:ln>
                  </pic:spPr>
                </pic:pic>
              </a:graphicData>
            </a:graphic>
          </wp:inline>
        </w:drawing>
      </w:r>
    </w:p>
    <w:p w14:paraId="693EC902">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28B23695">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12  双重差分+三重差分（排污权交易机制是否提高了企业全要素生产率—来自中国上市公司的证据）</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62961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57E4B856">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7C809CA5">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6D066B3D">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2A4CE265">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21EEB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3227B9E0">
            <w:pPr>
              <w:pStyle w:val="10"/>
              <w:adjustRightInd w:val="0"/>
              <w:snapToGrid w:val="0"/>
              <w:ind w:firstLine="0" w:firstLineChars="0"/>
              <w:jc w:val="center"/>
              <w:rPr>
                <w:rFonts w:hAnsi="宋体" w:cs="宋体"/>
                <w:sz w:val="18"/>
                <w:szCs w:val="18"/>
              </w:rPr>
            </w:pPr>
          </w:p>
          <w:p w14:paraId="39128517">
            <w:pPr>
              <w:pStyle w:val="10"/>
              <w:adjustRightInd w:val="0"/>
              <w:snapToGrid w:val="0"/>
              <w:ind w:firstLine="0" w:firstLineChars="0"/>
              <w:jc w:val="center"/>
              <w:rPr>
                <w:rFonts w:hAnsi="宋体" w:cs="宋体"/>
                <w:sz w:val="18"/>
                <w:szCs w:val="18"/>
              </w:rPr>
            </w:pPr>
            <w:r>
              <w:rPr>
                <w:rFonts w:hAnsi="宋体" w:cs="宋体"/>
                <w:sz w:val="18"/>
                <w:szCs w:val="18"/>
              </w:rPr>
              <w:t>双重差分+三重差分（排污权交易机制是否提高了企业全要素生产率—来自中国上市公司的证据）</w:t>
            </w:r>
          </w:p>
        </w:tc>
        <w:tc>
          <w:tcPr>
            <w:tcW w:w="1240" w:type="dxa"/>
            <w:vMerge w:val="restart"/>
            <w:vAlign w:val="center"/>
          </w:tcPr>
          <w:p w14:paraId="16889E79">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123436A4">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7820EB45">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37C5E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D0A0FDD">
            <w:pPr>
              <w:pStyle w:val="10"/>
              <w:adjustRightInd w:val="0"/>
              <w:snapToGrid w:val="0"/>
              <w:ind w:firstLine="0" w:firstLineChars="0"/>
              <w:jc w:val="center"/>
              <w:rPr>
                <w:rFonts w:hAnsi="宋体" w:cs="宋体"/>
                <w:sz w:val="18"/>
                <w:szCs w:val="18"/>
              </w:rPr>
            </w:pPr>
          </w:p>
        </w:tc>
        <w:tc>
          <w:tcPr>
            <w:tcW w:w="1240" w:type="dxa"/>
            <w:vMerge w:val="continue"/>
            <w:vAlign w:val="center"/>
          </w:tcPr>
          <w:p w14:paraId="660F8592">
            <w:pPr>
              <w:pStyle w:val="10"/>
              <w:adjustRightInd w:val="0"/>
              <w:snapToGrid w:val="0"/>
              <w:ind w:firstLine="0" w:firstLineChars="0"/>
              <w:rPr>
                <w:rFonts w:hAnsi="宋体" w:cs="宋体"/>
                <w:spacing w:val="10"/>
                <w:sz w:val="18"/>
                <w:szCs w:val="18"/>
              </w:rPr>
            </w:pPr>
          </w:p>
        </w:tc>
        <w:tc>
          <w:tcPr>
            <w:tcW w:w="5058" w:type="dxa"/>
            <w:vAlign w:val="center"/>
          </w:tcPr>
          <w:p w14:paraId="7C842EA4">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75FE4C66">
            <w:pPr>
              <w:pStyle w:val="10"/>
              <w:adjustRightInd w:val="0"/>
              <w:snapToGrid w:val="0"/>
              <w:ind w:firstLine="0" w:firstLineChars="0"/>
              <w:jc w:val="center"/>
              <w:rPr>
                <w:rFonts w:hAnsi="宋体" w:cs="宋体"/>
                <w:spacing w:val="10"/>
                <w:sz w:val="18"/>
                <w:szCs w:val="18"/>
              </w:rPr>
            </w:pPr>
          </w:p>
        </w:tc>
      </w:tr>
      <w:tr w14:paraId="6DC65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ED35CE5">
            <w:pPr>
              <w:pStyle w:val="10"/>
              <w:adjustRightInd w:val="0"/>
              <w:snapToGrid w:val="0"/>
              <w:ind w:firstLine="0" w:firstLineChars="0"/>
              <w:jc w:val="center"/>
              <w:rPr>
                <w:rFonts w:hAnsi="宋体" w:cs="宋体"/>
                <w:sz w:val="18"/>
                <w:szCs w:val="18"/>
              </w:rPr>
            </w:pPr>
          </w:p>
        </w:tc>
        <w:tc>
          <w:tcPr>
            <w:tcW w:w="1240" w:type="dxa"/>
            <w:vMerge w:val="continue"/>
            <w:vAlign w:val="center"/>
          </w:tcPr>
          <w:p w14:paraId="4D9F9741">
            <w:pPr>
              <w:pStyle w:val="10"/>
              <w:adjustRightInd w:val="0"/>
              <w:snapToGrid w:val="0"/>
              <w:ind w:firstLine="0" w:firstLineChars="0"/>
              <w:rPr>
                <w:rFonts w:hAnsi="宋体" w:cs="宋体"/>
                <w:spacing w:val="10"/>
                <w:sz w:val="18"/>
                <w:szCs w:val="18"/>
              </w:rPr>
            </w:pPr>
          </w:p>
        </w:tc>
        <w:tc>
          <w:tcPr>
            <w:tcW w:w="5058" w:type="dxa"/>
            <w:vAlign w:val="center"/>
          </w:tcPr>
          <w:p w14:paraId="7E7A7F30">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3C6E47D4">
            <w:pPr>
              <w:pStyle w:val="10"/>
              <w:adjustRightInd w:val="0"/>
              <w:snapToGrid w:val="0"/>
              <w:ind w:firstLine="0" w:firstLineChars="0"/>
              <w:jc w:val="center"/>
              <w:rPr>
                <w:rFonts w:hAnsi="宋体" w:cs="宋体"/>
                <w:spacing w:val="10"/>
                <w:sz w:val="18"/>
                <w:szCs w:val="18"/>
              </w:rPr>
            </w:pPr>
          </w:p>
        </w:tc>
      </w:tr>
      <w:tr w14:paraId="1E981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E455A55">
            <w:pPr>
              <w:pStyle w:val="10"/>
              <w:adjustRightInd w:val="0"/>
              <w:snapToGrid w:val="0"/>
              <w:ind w:firstLine="0" w:firstLineChars="0"/>
              <w:jc w:val="center"/>
              <w:rPr>
                <w:rFonts w:hAnsi="宋体" w:cs="宋体"/>
                <w:sz w:val="18"/>
                <w:szCs w:val="18"/>
              </w:rPr>
            </w:pPr>
          </w:p>
        </w:tc>
        <w:tc>
          <w:tcPr>
            <w:tcW w:w="1240" w:type="dxa"/>
            <w:vMerge w:val="restart"/>
            <w:vAlign w:val="center"/>
          </w:tcPr>
          <w:p w14:paraId="75A77047">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338B484F">
            <w:pPr>
              <w:pStyle w:val="10"/>
              <w:adjustRightInd w:val="0"/>
              <w:snapToGrid w:val="0"/>
              <w:ind w:firstLine="0" w:firstLineChars="0"/>
              <w:rPr>
                <w:rFonts w:hAnsi="宋体" w:cs="宋体"/>
                <w:sz w:val="18"/>
                <w:szCs w:val="18"/>
              </w:rPr>
            </w:pPr>
            <w:r>
              <w:rPr>
                <w:rFonts w:hAnsi="宋体" w:cs="宋体"/>
                <w:sz w:val="18"/>
                <w:szCs w:val="18"/>
              </w:rPr>
              <w:t>排污权交易政策对SO2排放和工业GDP 的影响</w:t>
            </w:r>
          </w:p>
        </w:tc>
        <w:tc>
          <w:tcPr>
            <w:tcW w:w="1356" w:type="dxa"/>
            <w:vMerge w:val="continue"/>
            <w:vAlign w:val="center"/>
          </w:tcPr>
          <w:p w14:paraId="0161C390">
            <w:pPr>
              <w:pStyle w:val="10"/>
              <w:adjustRightInd w:val="0"/>
              <w:snapToGrid w:val="0"/>
              <w:ind w:firstLine="0" w:firstLineChars="0"/>
              <w:jc w:val="center"/>
              <w:rPr>
                <w:rFonts w:hAnsi="宋体" w:cs="宋体"/>
                <w:sz w:val="18"/>
                <w:szCs w:val="18"/>
              </w:rPr>
            </w:pPr>
          </w:p>
        </w:tc>
      </w:tr>
      <w:tr w14:paraId="2A700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C77A1D7">
            <w:pPr>
              <w:pStyle w:val="10"/>
              <w:adjustRightInd w:val="0"/>
              <w:snapToGrid w:val="0"/>
              <w:ind w:firstLine="0" w:firstLineChars="0"/>
              <w:jc w:val="center"/>
              <w:rPr>
                <w:rFonts w:hAnsi="宋体" w:cs="宋体"/>
                <w:sz w:val="18"/>
                <w:szCs w:val="18"/>
              </w:rPr>
            </w:pPr>
          </w:p>
        </w:tc>
        <w:tc>
          <w:tcPr>
            <w:tcW w:w="1240" w:type="dxa"/>
            <w:vMerge w:val="continue"/>
            <w:vAlign w:val="center"/>
          </w:tcPr>
          <w:p w14:paraId="24889906">
            <w:pPr>
              <w:pStyle w:val="10"/>
              <w:adjustRightInd w:val="0"/>
              <w:snapToGrid w:val="0"/>
              <w:ind w:firstLine="0" w:firstLineChars="0"/>
              <w:rPr>
                <w:rFonts w:hAnsi="宋体" w:cs="宋体"/>
                <w:sz w:val="18"/>
                <w:szCs w:val="18"/>
              </w:rPr>
            </w:pPr>
          </w:p>
        </w:tc>
        <w:tc>
          <w:tcPr>
            <w:tcW w:w="5058" w:type="dxa"/>
            <w:vAlign w:val="center"/>
          </w:tcPr>
          <w:p w14:paraId="27634A28">
            <w:pPr>
              <w:pStyle w:val="10"/>
              <w:adjustRightInd w:val="0"/>
              <w:snapToGrid w:val="0"/>
              <w:ind w:firstLine="0" w:firstLineChars="0"/>
              <w:rPr>
                <w:rFonts w:hAnsi="宋体" w:cs="宋体"/>
                <w:sz w:val="18"/>
                <w:szCs w:val="18"/>
              </w:rPr>
            </w:pPr>
            <w:r>
              <w:rPr>
                <w:rFonts w:hAnsi="宋体" w:cs="宋体"/>
                <w:sz w:val="18"/>
                <w:szCs w:val="18"/>
              </w:rPr>
              <w:t>SO2排污权交易试点对全要素生产率的影响：双重差分</w:t>
            </w:r>
          </w:p>
        </w:tc>
        <w:tc>
          <w:tcPr>
            <w:tcW w:w="1356" w:type="dxa"/>
            <w:vMerge w:val="continue"/>
            <w:vAlign w:val="center"/>
          </w:tcPr>
          <w:p w14:paraId="2720A53E">
            <w:pPr>
              <w:pStyle w:val="10"/>
              <w:adjustRightInd w:val="0"/>
              <w:snapToGrid w:val="0"/>
              <w:ind w:firstLine="0" w:firstLineChars="0"/>
              <w:jc w:val="center"/>
              <w:rPr>
                <w:rFonts w:hAnsi="宋体" w:cs="宋体"/>
                <w:sz w:val="18"/>
                <w:szCs w:val="18"/>
              </w:rPr>
            </w:pPr>
          </w:p>
        </w:tc>
      </w:tr>
      <w:tr w14:paraId="07F1B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66F5F4C">
            <w:pPr>
              <w:pStyle w:val="10"/>
              <w:adjustRightInd w:val="0"/>
              <w:snapToGrid w:val="0"/>
              <w:ind w:firstLine="0" w:firstLineChars="0"/>
              <w:jc w:val="center"/>
              <w:rPr>
                <w:rFonts w:hAnsi="宋体" w:cs="宋体"/>
                <w:sz w:val="18"/>
                <w:szCs w:val="18"/>
              </w:rPr>
            </w:pPr>
          </w:p>
        </w:tc>
        <w:tc>
          <w:tcPr>
            <w:tcW w:w="1240" w:type="dxa"/>
            <w:vMerge w:val="continue"/>
            <w:vAlign w:val="center"/>
          </w:tcPr>
          <w:p w14:paraId="19A7BE47">
            <w:pPr>
              <w:pStyle w:val="10"/>
              <w:adjustRightInd w:val="0"/>
              <w:snapToGrid w:val="0"/>
              <w:ind w:firstLine="0" w:firstLineChars="0"/>
              <w:rPr>
                <w:rFonts w:hAnsi="宋体" w:cs="宋体"/>
                <w:sz w:val="18"/>
                <w:szCs w:val="18"/>
              </w:rPr>
            </w:pPr>
          </w:p>
        </w:tc>
        <w:tc>
          <w:tcPr>
            <w:tcW w:w="5058" w:type="dxa"/>
            <w:vAlign w:val="center"/>
          </w:tcPr>
          <w:p w14:paraId="533B7133">
            <w:pPr>
              <w:pStyle w:val="10"/>
              <w:adjustRightInd w:val="0"/>
              <w:snapToGrid w:val="0"/>
              <w:ind w:firstLine="0" w:firstLineChars="0"/>
              <w:rPr>
                <w:rFonts w:hAnsi="宋体" w:cs="宋体"/>
                <w:sz w:val="18"/>
                <w:szCs w:val="18"/>
              </w:rPr>
            </w:pPr>
            <w:r>
              <w:rPr>
                <w:rFonts w:hAnsi="宋体" w:cs="宋体"/>
                <w:sz w:val="18"/>
                <w:szCs w:val="18"/>
                <w:lang w:bidi="ar"/>
              </w:rPr>
              <w:t>三重差分估计结果</w:t>
            </w:r>
          </w:p>
        </w:tc>
        <w:tc>
          <w:tcPr>
            <w:tcW w:w="1356" w:type="dxa"/>
            <w:vMerge w:val="continue"/>
            <w:vAlign w:val="center"/>
          </w:tcPr>
          <w:p w14:paraId="2A728F57">
            <w:pPr>
              <w:pStyle w:val="10"/>
              <w:adjustRightInd w:val="0"/>
              <w:snapToGrid w:val="0"/>
              <w:ind w:firstLine="0" w:firstLineChars="0"/>
              <w:jc w:val="center"/>
              <w:rPr>
                <w:rFonts w:hAnsi="宋体" w:cs="宋体"/>
                <w:sz w:val="18"/>
                <w:szCs w:val="18"/>
              </w:rPr>
            </w:pPr>
          </w:p>
        </w:tc>
      </w:tr>
      <w:tr w14:paraId="2D60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05E4BE2">
            <w:pPr>
              <w:pStyle w:val="10"/>
              <w:adjustRightInd w:val="0"/>
              <w:snapToGrid w:val="0"/>
              <w:ind w:firstLine="0" w:firstLineChars="0"/>
              <w:jc w:val="center"/>
              <w:rPr>
                <w:rFonts w:hAnsi="宋体" w:cs="宋体"/>
                <w:sz w:val="18"/>
                <w:szCs w:val="18"/>
              </w:rPr>
            </w:pPr>
          </w:p>
        </w:tc>
        <w:tc>
          <w:tcPr>
            <w:tcW w:w="1240" w:type="dxa"/>
            <w:vMerge w:val="continue"/>
            <w:vAlign w:val="center"/>
          </w:tcPr>
          <w:p w14:paraId="1C91FF2F">
            <w:pPr>
              <w:pStyle w:val="10"/>
              <w:adjustRightInd w:val="0"/>
              <w:snapToGrid w:val="0"/>
              <w:ind w:firstLine="0" w:firstLineChars="0"/>
              <w:rPr>
                <w:rFonts w:hAnsi="宋体" w:cs="宋体"/>
                <w:sz w:val="18"/>
                <w:szCs w:val="18"/>
              </w:rPr>
            </w:pPr>
          </w:p>
        </w:tc>
        <w:tc>
          <w:tcPr>
            <w:tcW w:w="5058" w:type="dxa"/>
            <w:vAlign w:val="center"/>
          </w:tcPr>
          <w:p w14:paraId="27F77F00">
            <w:pPr>
              <w:pStyle w:val="10"/>
              <w:adjustRightInd w:val="0"/>
              <w:snapToGrid w:val="0"/>
              <w:ind w:firstLine="0" w:firstLineChars="0"/>
              <w:rPr>
                <w:rFonts w:hAnsi="宋体" w:cs="宋体"/>
                <w:sz w:val="18"/>
                <w:szCs w:val="18"/>
              </w:rPr>
            </w:pPr>
            <w:r>
              <w:rPr>
                <w:rFonts w:hAnsi="宋体" w:cs="宋体"/>
                <w:sz w:val="18"/>
                <w:szCs w:val="18"/>
              </w:rPr>
              <w:t>全要素生产率估计方法敏感性检验</w:t>
            </w:r>
          </w:p>
        </w:tc>
        <w:tc>
          <w:tcPr>
            <w:tcW w:w="1356" w:type="dxa"/>
            <w:vMerge w:val="continue"/>
            <w:vAlign w:val="center"/>
          </w:tcPr>
          <w:p w14:paraId="5CCFDD11">
            <w:pPr>
              <w:pStyle w:val="10"/>
              <w:adjustRightInd w:val="0"/>
              <w:snapToGrid w:val="0"/>
              <w:ind w:firstLine="0" w:firstLineChars="0"/>
              <w:jc w:val="center"/>
              <w:rPr>
                <w:rFonts w:hAnsi="宋体" w:cs="宋体"/>
                <w:sz w:val="18"/>
                <w:szCs w:val="18"/>
              </w:rPr>
            </w:pPr>
          </w:p>
        </w:tc>
      </w:tr>
      <w:tr w14:paraId="0EE62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5966B0A">
            <w:pPr>
              <w:pStyle w:val="10"/>
              <w:adjustRightInd w:val="0"/>
              <w:snapToGrid w:val="0"/>
              <w:ind w:firstLine="0" w:firstLineChars="0"/>
              <w:jc w:val="center"/>
              <w:rPr>
                <w:rFonts w:hAnsi="宋体" w:cs="宋体"/>
                <w:sz w:val="18"/>
                <w:szCs w:val="18"/>
              </w:rPr>
            </w:pPr>
          </w:p>
        </w:tc>
        <w:tc>
          <w:tcPr>
            <w:tcW w:w="1240" w:type="dxa"/>
            <w:vMerge w:val="continue"/>
            <w:vAlign w:val="center"/>
          </w:tcPr>
          <w:p w14:paraId="26954DD4">
            <w:pPr>
              <w:pStyle w:val="10"/>
              <w:adjustRightInd w:val="0"/>
              <w:snapToGrid w:val="0"/>
              <w:ind w:firstLine="0" w:firstLineChars="0"/>
              <w:rPr>
                <w:rFonts w:hAnsi="宋体" w:cs="宋体"/>
                <w:sz w:val="18"/>
                <w:szCs w:val="18"/>
              </w:rPr>
            </w:pPr>
          </w:p>
        </w:tc>
        <w:tc>
          <w:tcPr>
            <w:tcW w:w="5058" w:type="dxa"/>
            <w:vAlign w:val="center"/>
          </w:tcPr>
          <w:p w14:paraId="48D786C5">
            <w:pPr>
              <w:pStyle w:val="10"/>
              <w:adjustRightInd w:val="0"/>
              <w:snapToGrid w:val="0"/>
              <w:ind w:firstLine="0" w:firstLineChars="0"/>
              <w:rPr>
                <w:rFonts w:hAnsi="宋体" w:cs="宋体"/>
                <w:sz w:val="18"/>
                <w:szCs w:val="18"/>
              </w:rPr>
            </w:pPr>
            <w:r>
              <w:rPr>
                <w:rFonts w:hAnsi="宋体" w:cs="宋体"/>
                <w:sz w:val="18"/>
                <w:szCs w:val="18"/>
              </w:rPr>
              <w:t>工具变量的回归结果</w:t>
            </w:r>
          </w:p>
        </w:tc>
        <w:tc>
          <w:tcPr>
            <w:tcW w:w="1356" w:type="dxa"/>
            <w:vMerge w:val="continue"/>
            <w:vAlign w:val="center"/>
          </w:tcPr>
          <w:p w14:paraId="0F5A1BB8">
            <w:pPr>
              <w:pStyle w:val="10"/>
              <w:adjustRightInd w:val="0"/>
              <w:snapToGrid w:val="0"/>
              <w:ind w:firstLine="0" w:firstLineChars="0"/>
              <w:jc w:val="center"/>
              <w:rPr>
                <w:rFonts w:hAnsi="宋体" w:cs="宋体"/>
                <w:sz w:val="18"/>
                <w:szCs w:val="18"/>
              </w:rPr>
            </w:pPr>
          </w:p>
        </w:tc>
      </w:tr>
      <w:tr w14:paraId="02063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E8FDCA6">
            <w:pPr>
              <w:pStyle w:val="10"/>
              <w:adjustRightInd w:val="0"/>
              <w:snapToGrid w:val="0"/>
              <w:ind w:firstLine="0" w:firstLineChars="0"/>
              <w:jc w:val="center"/>
              <w:rPr>
                <w:rFonts w:hAnsi="宋体" w:cs="宋体"/>
                <w:sz w:val="18"/>
                <w:szCs w:val="18"/>
              </w:rPr>
            </w:pPr>
          </w:p>
        </w:tc>
        <w:tc>
          <w:tcPr>
            <w:tcW w:w="1240" w:type="dxa"/>
            <w:vMerge w:val="continue"/>
            <w:vAlign w:val="center"/>
          </w:tcPr>
          <w:p w14:paraId="6010955C">
            <w:pPr>
              <w:pStyle w:val="10"/>
              <w:adjustRightInd w:val="0"/>
              <w:snapToGrid w:val="0"/>
              <w:ind w:firstLine="0" w:firstLineChars="0"/>
              <w:rPr>
                <w:rFonts w:hAnsi="宋体" w:cs="宋体"/>
                <w:sz w:val="18"/>
                <w:szCs w:val="18"/>
              </w:rPr>
            </w:pPr>
          </w:p>
        </w:tc>
        <w:tc>
          <w:tcPr>
            <w:tcW w:w="5058" w:type="dxa"/>
            <w:vAlign w:val="center"/>
          </w:tcPr>
          <w:p w14:paraId="773EC814">
            <w:pPr>
              <w:pStyle w:val="10"/>
              <w:adjustRightInd w:val="0"/>
              <w:snapToGrid w:val="0"/>
              <w:ind w:firstLine="0" w:firstLineChars="0"/>
              <w:rPr>
                <w:rFonts w:hAnsi="宋体" w:cs="宋体"/>
                <w:sz w:val="18"/>
                <w:szCs w:val="18"/>
              </w:rPr>
            </w:pPr>
            <w:r>
              <w:rPr>
                <w:rFonts w:hAnsi="宋体" w:cs="宋体"/>
                <w:sz w:val="18"/>
                <w:szCs w:val="18"/>
              </w:rPr>
              <w:t>行为：删除搬迁的企业</w:t>
            </w:r>
          </w:p>
        </w:tc>
        <w:tc>
          <w:tcPr>
            <w:tcW w:w="1356" w:type="dxa"/>
            <w:vMerge w:val="continue"/>
            <w:vAlign w:val="center"/>
          </w:tcPr>
          <w:p w14:paraId="3E8EA96B">
            <w:pPr>
              <w:pStyle w:val="10"/>
              <w:adjustRightInd w:val="0"/>
              <w:snapToGrid w:val="0"/>
              <w:ind w:firstLine="0" w:firstLineChars="0"/>
              <w:jc w:val="center"/>
              <w:rPr>
                <w:rFonts w:hAnsi="宋体" w:cs="宋体"/>
                <w:sz w:val="18"/>
                <w:szCs w:val="18"/>
              </w:rPr>
            </w:pPr>
          </w:p>
        </w:tc>
      </w:tr>
      <w:tr w14:paraId="58208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32B431F">
            <w:pPr>
              <w:pStyle w:val="10"/>
              <w:adjustRightInd w:val="0"/>
              <w:snapToGrid w:val="0"/>
              <w:ind w:firstLine="0" w:firstLineChars="0"/>
              <w:jc w:val="center"/>
              <w:rPr>
                <w:rFonts w:hAnsi="宋体" w:cs="宋体"/>
                <w:sz w:val="18"/>
                <w:szCs w:val="18"/>
              </w:rPr>
            </w:pPr>
          </w:p>
        </w:tc>
        <w:tc>
          <w:tcPr>
            <w:tcW w:w="1240" w:type="dxa"/>
            <w:vMerge w:val="continue"/>
            <w:vAlign w:val="center"/>
          </w:tcPr>
          <w:p w14:paraId="6DBAD01B">
            <w:pPr>
              <w:pStyle w:val="10"/>
              <w:adjustRightInd w:val="0"/>
              <w:snapToGrid w:val="0"/>
              <w:ind w:firstLine="0" w:firstLineChars="0"/>
              <w:rPr>
                <w:rFonts w:hAnsi="宋体" w:cs="宋体"/>
                <w:sz w:val="18"/>
                <w:szCs w:val="18"/>
              </w:rPr>
            </w:pPr>
          </w:p>
        </w:tc>
        <w:tc>
          <w:tcPr>
            <w:tcW w:w="5058" w:type="dxa"/>
            <w:vAlign w:val="center"/>
          </w:tcPr>
          <w:p w14:paraId="32CE9678">
            <w:pPr>
              <w:pStyle w:val="10"/>
              <w:adjustRightInd w:val="0"/>
              <w:snapToGrid w:val="0"/>
              <w:ind w:firstLine="0" w:firstLineChars="0"/>
              <w:rPr>
                <w:rFonts w:hAnsi="宋体" w:cs="宋体"/>
                <w:sz w:val="18"/>
                <w:szCs w:val="18"/>
              </w:rPr>
            </w:pPr>
            <w:r>
              <w:rPr>
                <w:rFonts w:hAnsi="宋体" w:cs="宋体"/>
                <w:sz w:val="18"/>
                <w:szCs w:val="18"/>
              </w:rPr>
              <w:t>SO2 排污权交易试点政策影响全要生产率的机制检验</w:t>
            </w:r>
          </w:p>
        </w:tc>
        <w:tc>
          <w:tcPr>
            <w:tcW w:w="1356" w:type="dxa"/>
            <w:vMerge w:val="continue"/>
            <w:vAlign w:val="center"/>
          </w:tcPr>
          <w:p w14:paraId="3A6F3A68">
            <w:pPr>
              <w:pStyle w:val="10"/>
              <w:adjustRightInd w:val="0"/>
              <w:snapToGrid w:val="0"/>
              <w:ind w:firstLine="0" w:firstLineChars="0"/>
              <w:jc w:val="center"/>
              <w:rPr>
                <w:rFonts w:hAnsi="宋体" w:cs="宋体"/>
                <w:sz w:val="18"/>
                <w:szCs w:val="18"/>
              </w:rPr>
            </w:pPr>
          </w:p>
        </w:tc>
      </w:tr>
      <w:tr w14:paraId="68A17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2C8DA8B">
            <w:pPr>
              <w:pStyle w:val="10"/>
              <w:adjustRightInd w:val="0"/>
              <w:snapToGrid w:val="0"/>
              <w:ind w:firstLine="0" w:firstLineChars="0"/>
              <w:jc w:val="center"/>
              <w:rPr>
                <w:rFonts w:hAnsi="宋体" w:cs="宋体"/>
                <w:sz w:val="18"/>
                <w:szCs w:val="18"/>
              </w:rPr>
            </w:pPr>
          </w:p>
        </w:tc>
        <w:tc>
          <w:tcPr>
            <w:tcW w:w="1240" w:type="dxa"/>
            <w:vMerge w:val="restart"/>
            <w:vAlign w:val="center"/>
          </w:tcPr>
          <w:p w14:paraId="1E74F10C">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0750183A">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26BE2BC2">
            <w:pPr>
              <w:pStyle w:val="10"/>
              <w:adjustRightInd w:val="0"/>
              <w:snapToGrid w:val="0"/>
              <w:ind w:firstLine="0" w:firstLineChars="0"/>
              <w:jc w:val="center"/>
              <w:rPr>
                <w:rFonts w:hAnsi="宋体" w:cs="宋体"/>
                <w:sz w:val="18"/>
                <w:szCs w:val="18"/>
              </w:rPr>
            </w:pPr>
          </w:p>
        </w:tc>
      </w:tr>
      <w:tr w14:paraId="69C5F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6764A9A">
            <w:pPr>
              <w:pStyle w:val="10"/>
              <w:adjustRightInd w:val="0"/>
              <w:snapToGrid w:val="0"/>
              <w:ind w:firstLine="0" w:firstLineChars="0"/>
              <w:jc w:val="center"/>
              <w:rPr>
                <w:rFonts w:hAnsi="宋体" w:cs="宋体"/>
                <w:sz w:val="18"/>
                <w:szCs w:val="18"/>
              </w:rPr>
            </w:pPr>
          </w:p>
        </w:tc>
        <w:tc>
          <w:tcPr>
            <w:tcW w:w="1240" w:type="dxa"/>
            <w:vMerge w:val="continue"/>
            <w:vAlign w:val="center"/>
          </w:tcPr>
          <w:p w14:paraId="5318C37F">
            <w:pPr>
              <w:pStyle w:val="10"/>
              <w:adjustRightInd w:val="0"/>
              <w:snapToGrid w:val="0"/>
              <w:ind w:firstLine="0" w:firstLineChars="0"/>
              <w:rPr>
                <w:rFonts w:hAnsi="宋体" w:cs="宋体"/>
                <w:sz w:val="18"/>
                <w:szCs w:val="18"/>
              </w:rPr>
            </w:pPr>
          </w:p>
        </w:tc>
        <w:tc>
          <w:tcPr>
            <w:tcW w:w="5058" w:type="dxa"/>
            <w:vAlign w:val="center"/>
          </w:tcPr>
          <w:p w14:paraId="7810B8E6">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双重差分+三重差分模型</w:t>
            </w:r>
            <w:r>
              <w:rPr>
                <w:rFonts w:hAnsi="宋体" w:cs="宋体"/>
                <w:spacing w:val="10"/>
                <w:sz w:val="18"/>
                <w:szCs w:val="18"/>
              </w:rPr>
              <w:t>建模技巧与论文写作技巧</w:t>
            </w:r>
          </w:p>
        </w:tc>
        <w:tc>
          <w:tcPr>
            <w:tcW w:w="1356" w:type="dxa"/>
            <w:vMerge w:val="continue"/>
            <w:vAlign w:val="center"/>
          </w:tcPr>
          <w:p w14:paraId="3492409F">
            <w:pPr>
              <w:pStyle w:val="10"/>
              <w:adjustRightInd w:val="0"/>
              <w:snapToGrid w:val="0"/>
              <w:ind w:firstLine="0" w:firstLineChars="0"/>
              <w:jc w:val="center"/>
              <w:rPr>
                <w:rFonts w:hAnsi="宋体" w:cs="宋体"/>
                <w:sz w:val="18"/>
                <w:szCs w:val="18"/>
              </w:rPr>
            </w:pPr>
          </w:p>
        </w:tc>
      </w:tr>
    </w:tbl>
    <w:p w14:paraId="69C8B826">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6" w:name="_Toc26500"/>
      <w:r>
        <w:rPr>
          <w:rFonts w:hint="eastAsia" w:ascii="宋体" w:hAnsi="宋体" w:cs="宋体"/>
          <w:sz w:val="21"/>
          <w:szCs w:val="21"/>
        </w:rPr>
        <w:t>断点回归模型（环境规制与企业纳税遵从_效应、机制与改善路径）</w:t>
      </w:r>
      <w:bookmarkEnd w:id="36"/>
    </w:p>
    <w:p w14:paraId="544D7B52">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3B80D9BF">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13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0443E4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592E4FDF">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60BB15E5">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0CE2B8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3B8EF732">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76AE042A">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6650A6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70D24F4E">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4F395A79">
            <w:pPr>
              <w:pStyle w:val="10"/>
              <w:adjustRightInd w:val="0"/>
              <w:snapToGrid w:val="0"/>
              <w:ind w:firstLine="0" w:firstLineChars="0"/>
              <w:jc w:val="left"/>
              <w:rPr>
                <w:rFonts w:hAnsi="宋体" w:cs="宋体"/>
                <w:sz w:val="18"/>
                <w:szCs w:val="18"/>
              </w:rPr>
            </w:pPr>
            <w:r>
              <w:rPr>
                <w:rFonts w:hAnsi="宋体" w:cs="宋体"/>
                <w:sz w:val="18"/>
                <w:szCs w:val="18"/>
              </w:rPr>
              <w:t>包含21份实训指导书、1份数据、1份论文仿写设计报告模板。</w:t>
            </w:r>
          </w:p>
        </w:tc>
      </w:tr>
      <w:tr w14:paraId="700DED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3F144932">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0848E88C">
            <w:pPr>
              <w:pStyle w:val="10"/>
              <w:adjustRightInd w:val="0"/>
              <w:snapToGrid w:val="0"/>
              <w:ind w:firstLine="0" w:firstLineChars="0"/>
              <w:jc w:val="left"/>
              <w:rPr>
                <w:rFonts w:hAnsi="宋体" w:cs="宋体"/>
                <w:sz w:val="18"/>
                <w:szCs w:val="18"/>
              </w:rPr>
            </w:pPr>
            <w:r>
              <w:rPr>
                <w:rFonts w:hAnsi="宋体" w:cs="宋体"/>
                <w:sz w:val="18"/>
                <w:szCs w:val="18"/>
              </w:rPr>
              <w:t>高效掌握断点回归模型建模技巧与论文写作技巧</w:t>
            </w:r>
          </w:p>
        </w:tc>
      </w:tr>
      <w:tr w14:paraId="6A2092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614E82D2">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1BFD93EC">
            <w:pPr>
              <w:pStyle w:val="10"/>
              <w:adjustRightInd w:val="0"/>
              <w:snapToGrid w:val="0"/>
              <w:ind w:firstLine="0" w:firstLineChars="0"/>
              <w:jc w:val="left"/>
              <w:rPr>
                <w:rFonts w:hAnsi="宋体" w:cs="宋体"/>
                <w:sz w:val="18"/>
                <w:szCs w:val="18"/>
              </w:rPr>
            </w:pPr>
            <w:r>
              <w:rPr>
                <w:rFonts w:hAnsi="宋体" w:cs="宋体"/>
                <w:sz w:val="18"/>
                <w:szCs w:val="18"/>
              </w:rPr>
              <w:t>环境规制与企业纳税遵从_效应、机制与改善路径</w:t>
            </w:r>
          </w:p>
        </w:tc>
      </w:tr>
    </w:tbl>
    <w:p w14:paraId="7E95F469">
      <w:pPr>
        <w:adjustRightInd w:val="0"/>
        <w:snapToGrid w:val="0"/>
        <w:ind w:firstLine="420"/>
        <w:jc w:val="left"/>
        <w:rPr>
          <w:rFonts w:hint="eastAsia" w:ascii="宋体" w:hAnsi="宋体" w:cs="宋体"/>
          <w:sz w:val="21"/>
          <w:szCs w:val="21"/>
        </w:rPr>
      </w:pPr>
      <w:r>
        <w:rPr>
          <w:rFonts w:hint="eastAsia" w:ascii="宋体" w:hAnsi="宋体" w:cs="宋体"/>
          <w:sz w:val="21"/>
          <w:szCs w:val="21"/>
        </w:rPr>
        <w:t>断点回归模型（Regression Discontinuity Design, RDD）是一种用于因果推断的准实验方法，适用于处理变量在某一临界点（断点）处发生不连续变化的场景。其核心思想是通过比较临界点两侧的个体，识别处理变量对结果变量的因果效应。</w:t>
      </w:r>
    </w:p>
    <w:p w14:paraId="59CE5555">
      <w:pPr>
        <w:adjustRightInd w:val="0"/>
        <w:snapToGrid w:val="0"/>
        <w:ind w:firstLine="420"/>
        <w:jc w:val="left"/>
        <w:rPr>
          <w:rFonts w:hint="eastAsia" w:ascii="宋体" w:hAnsi="宋体" w:cs="宋体"/>
          <w:sz w:val="21"/>
          <w:szCs w:val="21"/>
        </w:rPr>
      </w:pPr>
      <w:r>
        <w:rPr>
          <w:rFonts w:hint="eastAsia" w:ascii="宋体" w:hAnsi="宋体" w:cs="宋体"/>
          <w:sz w:val="21"/>
          <w:szCs w:val="21"/>
        </w:rPr>
        <w:t>局部随机化：在断点附近，个体接受处理的概率发生不连续变化，类似于随机实验。</w:t>
      </w:r>
    </w:p>
    <w:p w14:paraId="5BAC7B03">
      <w:pPr>
        <w:adjustRightInd w:val="0"/>
        <w:snapToGrid w:val="0"/>
        <w:ind w:firstLine="420"/>
        <w:jc w:val="left"/>
        <w:rPr>
          <w:rFonts w:hint="eastAsia" w:ascii="宋体" w:hAnsi="宋体" w:cs="宋体"/>
          <w:sz w:val="21"/>
          <w:szCs w:val="21"/>
        </w:rPr>
      </w:pPr>
      <w:r>
        <w:rPr>
          <w:rFonts w:hint="eastAsia" w:ascii="宋体" w:hAnsi="宋体" w:cs="宋体"/>
          <w:sz w:val="21"/>
          <w:szCs w:val="21"/>
        </w:rPr>
        <w:t>因果推断能力强：通过比较断点两侧的个体，识别处理的净效应。</w:t>
      </w:r>
    </w:p>
    <w:p w14:paraId="02F819D4">
      <w:pPr>
        <w:adjustRightInd w:val="0"/>
        <w:snapToGrid w:val="0"/>
        <w:ind w:firstLine="420"/>
        <w:jc w:val="left"/>
        <w:rPr>
          <w:rFonts w:hint="eastAsia" w:ascii="宋体" w:hAnsi="宋体" w:cs="宋体"/>
          <w:sz w:val="21"/>
          <w:szCs w:val="21"/>
        </w:rPr>
      </w:pPr>
      <w:r>
        <w:rPr>
          <w:rFonts w:hint="eastAsia" w:ascii="宋体" w:hAnsi="宋体" w:cs="宋体"/>
          <w:sz w:val="21"/>
          <w:szCs w:val="21"/>
        </w:rPr>
        <w:t>灵活性：适用于多种断点类型（如清晰断点、模糊断点）和函数形式（如线性、多项式）。</w:t>
      </w:r>
    </w:p>
    <w:p w14:paraId="03039789">
      <w:pPr>
        <w:adjustRightInd w:val="0"/>
        <w:snapToGrid w:val="0"/>
        <w:ind w:firstLine="420"/>
        <w:jc w:val="left"/>
        <w:rPr>
          <w:rFonts w:hint="eastAsia" w:ascii="宋体" w:hAnsi="宋体" w:cs="宋体"/>
          <w:sz w:val="21"/>
          <w:szCs w:val="21"/>
        </w:rPr>
      </w:pPr>
      <w:r>
        <w:rPr>
          <w:rFonts w:hint="eastAsia" w:ascii="宋体" w:hAnsi="宋体" w:cs="宋体"/>
          <w:sz w:val="21"/>
          <w:szCs w:val="21"/>
        </w:rPr>
        <w:t>局部有效性：仅能估计断点附近的处理效应，无法推广到整体样本。</w:t>
      </w:r>
    </w:p>
    <w:p w14:paraId="3BD91B1E">
      <w:pPr>
        <w:adjustRightInd w:val="0"/>
        <w:snapToGrid w:val="0"/>
        <w:ind w:firstLine="420"/>
        <w:jc w:val="left"/>
        <w:rPr>
          <w:rFonts w:hint="eastAsia" w:ascii="宋体" w:hAnsi="宋体" w:cs="宋体"/>
          <w:sz w:val="21"/>
          <w:szCs w:val="21"/>
        </w:rPr>
      </w:pPr>
      <w:r>
        <w:rPr>
          <w:rFonts w:hint="eastAsia" w:ascii="宋体" w:hAnsi="宋体" w:cs="宋体"/>
          <w:sz w:val="21"/>
          <w:szCs w:val="21"/>
        </w:rPr>
        <w:t>驱动变量操纵风险：若个体能够操纵驱动变量（如考试成绩），可能导致估计偏差。</w:t>
      </w:r>
    </w:p>
    <w:p w14:paraId="12F22F27">
      <w:pPr>
        <w:adjustRightInd w:val="0"/>
        <w:snapToGrid w:val="0"/>
        <w:ind w:firstLine="420"/>
        <w:jc w:val="left"/>
        <w:rPr>
          <w:rFonts w:hint="eastAsia" w:ascii="宋体" w:hAnsi="宋体" w:cs="宋体"/>
          <w:sz w:val="21"/>
          <w:szCs w:val="21"/>
        </w:rPr>
      </w:pPr>
      <w:r>
        <w:rPr>
          <w:rFonts w:hint="eastAsia" w:ascii="宋体" w:hAnsi="宋体" w:cs="宋体"/>
          <w:sz w:val="21"/>
          <w:szCs w:val="21"/>
        </w:rPr>
        <w:t>数据要求高：需要足够多的样本集中在断点附近，否则可能导致估计不准确。</w:t>
      </w:r>
    </w:p>
    <w:p w14:paraId="7007B485">
      <w:pPr>
        <w:adjustRightInd w:val="0"/>
        <w:snapToGrid w:val="0"/>
        <w:ind w:firstLine="420"/>
        <w:jc w:val="left"/>
        <w:rPr>
          <w:rFonts w:hint="eastAsia" w:ascii="宋体" w:hAnsi="宋体" w:cs="宋体"/>
          <w:sz w:val="21"/>
          <w:szCs w:val="21"/>
        </w:rPr>
      </w:pPr>
      <w:r>
        <w:rPr>
          <w:rFonts w:hint="eastAsia" w:ascii="宋体" w:hAnsi="宋体" w:cs="宋体"/>
          <w:sz w:val="21"/>
          <w:szCs w:val="21"/>
        </w:rPr>
        <w:t>断点回归模型是一种强大的工具，适用于评估在某一临界点处发生不连续变化的政策或干预措施的效果，尤其在教育、社会福利、医疗、企业政策等领域具有重要应用价值。在实际应用中，需合理选择驱动变量和断点，检验模型假设，并通过稳健性分析确保结果的可靠性。</w:t>
      </w:r>
    </w:p>
    <w:p w14:paraId="0C2437BA">
      <w:pPr>
        <w:pStyle w:val="2"/>
        <w:ind w:left="0" w:leftChars="0" w:firstLine="0" w:firstLineChars="0"/>
        <w:rPr>
          <w:rFonts w:hint="eastAsia"/>
        </w:rPr>
      </w:pPr>
      <w:r>
        <w:drawing>
          <wp:inline distT="0" distB="0" distL="114300" distR="114300">
            <wp:extent cx="5266055" cy="3568700"/>
            <wp:effectExtent l="0" t="0" r="4445"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33"/>
                    <a:stretch>
                      <a:fillRect/>
                    </a:stretch>
                  </pic:blipFill>
                  <pic:spPr>
                    <a:xfrm>
                      <a:off x="0" y="0"/>
                      <a:ext cx="5266055" cy="3568700"/>
                    </a:xfrm>
                    <a:prstGeom prst="rect">
                      <a:avLst/>
                    </a:prstGeom>
                    <a:noFill/>
                    <a:ln>
                      <a:noFill/>
                    </a:ln>
                  </pic:spPr>
                </pic:pic>
              </a:graphicData>
            </a:graphic>
          </wp:inline>
        </w:drawing>
      </w:r>
    </w:p>
    <w:p w14:paraId="72A54BD9">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4A5BB5A6">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14 断点回归模型（环境规制与企业纳税遵从_效应、机制与改善路径）</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5953B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3B5477D9">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328691CE">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6F945ABC">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2969C267">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3A9EE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7B93A25F">
            <w:pPr>
              <w:pStyle w:val="10"/>
              <w:adjustRightInd w:val="0"/>
              <w:snapToGrid w:val="0"/>
              <w:ind w:firstLine="0" w:firstLineChars="0"/>
              <w:jc w:val="center"/>
              <w:rPr>
                <w:rFonts w:hAnsi="宋体" w:cs="宋体"/>
                <w:sz w:val="18"/>
                <w:szCs w:val="18"/>
              </w:rPr>
            </w:pPr>
          </w:p>
          <w:p w14:paraId="69C9180F">
            <w:pPr>
              <w:pStyle w:val="10"/>
              <w:adjustRightInd w:val="0"/>
              <w:snapToGrid w:val="0"/>
              <w:ind w:firstLine="0" w:firstLineChars="0"/>
              <w:jc w:val="center"/>
              <w:rPr>
                <w:rFonts w:hAnsi="宋体" w:cs="宋体"/>
                <w:sz w:val="18"/>
                <w:szCs w:val="18"/>
              </w:rPr>
            </w:pPr>
            <w:r>
              <w:rPr>
                <w:rFonts w:hAnsi="宋体" w:cs="宋体"/>
                <w:sz w:val="18"/>
                <w:szCs w:val="18"/>
              </w:rPr>
              <w:t>断点回归模型（环境规制与企业纳税遵从_效应、机制与改善路径）</w:t>
            </w:r>
          </w:p>
        </w:tc>
        <w:tc>
          <w:tcPr>
            <w:tcW w:w="1240" w:type="dxa"/>
            <w:vMerge w:val="restart"/>
            <w:vAlign w:val="center"/>
          </w:tcPr>
          <w:p w14:paraId="62ACF9E6">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20FBCF76">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7752B2B6">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048AB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E67EC41">
            <w:pPr>
              <w:pStyle w:val="10"/>
              <w:adjustRightInd w:val="0"/>
              <w:snapToGrid w:val="0"/>
              <w:ind w:firstLine="0" w:firstLineChars="0"/>
              <w:jc w:val="center"/>
              <w:rPr>
                <w:rFonts w:hAnsi="宋体" w:cs="宋体"/>
                <w:sz w:val="18"/>
                <w:szCs w:val="18"/>
              </w:rPr>
            </w:pPr>
          </w:p>
        </w:tc>
        <w:tc>
          <w:tcPr>
            <w:tcW w:w="1240" w:type="dxa"/>
            <w:vMerge w:val="continue"/>
            <w:vAlign w:val="center"/>
          </w:tcPr>
          <w:p w14:paraId="73DF758B">
            <w:pPr>
              <w:pStyle w:val="10"/>
              <w:adjustRightInd w:val="0"/>
              <w:snapToGrid w:val="0"/>
              <w:ind w:firstLine="0" w:firstLineChars="0"/>
              <w:rPr>
                <w:rFonts w:hAnsi="宋体" w:cs="宋体"/>
                <w:spacing w:val="10"/>
                <w:sz w:val="18"/>
                <w:szCs w:val="18"/>
              </w:rPr>
            </w:pPr>
          </w:p>
        </w:tc>
        <w:tc>
          <w:tcPr>
            <w:tcW w:w="5058" w:type="dxa"/>
            <w:vAlign w:val="center"/>
          </w:tcPr>
          <w:p w14:paraId="5EAD401E">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3781AB05">
            <w:pPr>
              <w:pStyle w:val="10"/>
              <w:adjustRightInd w:val="0"/>
              <w:snapToGrid w:val="0"/>
              <w:ind w:firstLine="0" w:firstLineChars="0"/>
              <w:jc w:val="center"/>
              <w:rPr>
                <w:rFonts w:hAnsi="宋体" w:cs="宋体"/>
                <w:spacing w:val="10"/>
                <w:sz w:val="18"/>
                <w:szCs w:val="18"/>
              </w:rPr>
            </w:pPr>
          </w:p>
        </w:tc>
      </w:tr>
      <w:tr w14:paraId="298CA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978EF97">
            <w:pPr>
              <w:pStyle w:val="10"/>
              <w:adjustRightInd w:val="0"/>
              <w:snapToGrid w:val="0"/>
              <w:ind w:firstLine="0" w:firstLineChars="0"/>
              <w:jc w:val="center"/>
              <w:rPr>
                <w:rFonts w:hAnsi="宋体" w:cs="宋体"/>
                <w:sz w:val="18"/>
                <w:szCs w:val="18"/>
              </w:rPr>
            </w:pPr>
          </w:p>
        </w:tc>
        <w:tc>
          <w:tcPr>
            <w:tcW w:w="1240" w:type="dxa"/>
            <w:vMerge w:val="continue"/>
            <w:vAlign w:val="center"/>
          </w:tcPr>
          <w:p w14:paraId="0F8C50C5">
            <w:pPr>
              <w:pStyle w:val="10"/>
              <w:adjustRightInd w:val="0"/>
              <w:snapToGrid w:val="0"/>
              <w:ind w:firstLine="0" w:firstLineChars="0"/>
              <w:rPr>
                <w:rFonts w:hAnsi="宋体" w:cs="宋体"/>
                <w:spacing w:val="10"/>
                <w:sz w:val="18"/>
                <w:szCs w:val="18"/>
              </w:rPr>
            </w:pPr>
          </w:p>
        </w:tc>
        <w:tc>
          <w:tcPr>
            <w:tcW w:w="5058" w:type="dxa"/>
            <w:vAlign w:val="center"/>
          </w:tcPr>
          <w:p w14:paraId="15035209">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3B6EED26">
            <w:pPr>
              <w:pStyle w:val="10"/>
              <w:adjustRightInd w:val="0"/>
              <w:snapToGrid w:val="0"/>
              <w:ind w:firstLine="0" w:firstLineChars="0"/>
              <w:jc w:val="center"/>
              <w:rPr>
                <w:rFonts w:hAnsi="宋体" w:cs="宋体"/>
                <w:spacing w:val="10"/>
                <w:sz w:val="18"/>
                <w:szCs w:val="18"/>
              </w:rPr>
            </w:pPr>
          </w:p>
        </w:tc>
      </w:tr>
      <w:tr w14:paraId="0E989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424D926">
            <w:pPr>
              <w:pStyle w:val="10"/>
              <w:adjustRightInd w:val="0"/>
              <w:snapToGrid w:val="0"/>
              <w:ind w:firstLine="0" w:firstLineChars="0"/>
              <w:jc w:val="center"/>
              <w:rPr>
                <w:rFonts w:hAnsi="宋体" w:cs="宋体"/>
                <w:sz w:val="18"/>
                <w:szCs w:val="18"/>
              </w:rPr>
            </w:pPr>
          </w:p>
        </w:tc>
        <w:tc>
          <w:tcPr>
            <w:tcW w:w="1240" w:type="dxa"/>
            <w:vMerge w:val="restart"/>
            <w:vAlign w:val="center"/>
          </w:tcPr>
          <w:p w14:paraId="64AB51F5">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1B7404F7">
            <w:pPr>
              <w:pStyle w:val="10"/>
              <w:adjustRightInd w:val="0"/>
              <w:snapToGrid w:val="0"/>
              <w:ind w:firstLine="0" w:firstLineChars="0"/>
              <w:rPr>
                <w:rFonts w:hAnsi="宋体" w:cs="宋体"/>
                <w:sz w:val="18"/>
                <w:szCs w:val="18"/>
              </w:rPr>
            </w:pPr>
            <w:r>
              <w:rPr>
                <w:rFonts w:hAnsi="宋体" w:cs="宋体"/>
                <w:sz w:val="18"/>
                <w:szCs w:val="18"/>
              </w:rPr>
              <w:t>环保重点监控与企业避税的断点分布</w:t>
            </w:r>
          </w:p>
        </w:tc>
        <w:tc>
          <w:tcPr>
            <w:tcW w:w="1356" w:type="dxa"/>
            <w:vMerge w:val="continue"/>
            <w:vAlign w:val="center"/>
          </w:tcPr>
          <w:p w14:paraId="4CEF2CDB">
            <w:pPr>
              <w:pStyle w:val="10"/>
              <w:adjustRightInd w:val="0"/>
              <w:snapToGrid w:val="0"/>
              <w:ind w:firstLine="0" w:firstLineChars="0"/>
              <w:jc w:val="center"/>
              <w:rPr>
                <w:rFonts w:hAnsi="宋体" w:cs="宋体"/>
                <w:sz w:val="18"/>
                <w:szCs w:val="18"/>
              </w:rPr>
            </w:pPr>
          </w:p>
        </w:tc>
      </w:tr>
      <w:tr w14:paraId="449AD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01BB416">
            <w:pPr>
              <w:pStyle w:val="10"/>
              <w:adjustRightInd w:val="0"/>
              <w:snapToGrid w:val="0"/>
              <w:ind w:firstLine="0" w:firstLineChars="0"/>
              <w:jc w:val="center"/>
              <w:rPr>
                <w:rFonts w:hAnsi="宋体" w:cs="宋体"/>
                <w:sz w:val="18"/>
                <w:szCs w:val="18"/>
              </w:rPr>
            </w:pPr>
          </w:p>
        </w:tc>
        <w:tc>
          <w:tcPr>
            <w:tcW w:w="1240" w:type="dxa"/>
            <w:vMerge w:val="continue"/>
            <w:vAlign w:val="center"/>
          </w:tcPr>
          <w:p w14:paraId="11D86019">
            <w:pPr>
              <w:pStyle w:val="10"/>
              <w:adjustRightInd w:val="0"/>
              <w:snapToGrid w:val="0"/>
              <w:ind w:firstLine="0" w:firstLineChars="0"/>
              <w:rPr>
                <w:rFonts w:hAnsi="宋体" w:cs="宋体"/>
                <w:sz w:val="18"/>
                <w:szCs w:val="18"/>
              </w:rPr>
            </w:pPr>
          </w:p>
        </w:tc>
        <w:tc>
          <w:tcPr>
            <w:tcW w:w="5058" w:type="dxa"/>
            <w:vAlign w:val="center"/>
          </w:tcPr>
          <w:p w14:paraId="34EB6A16">
            <w:pPr>
              <w:pStyle w:val="10"/>
              <w:adjustRightInd w:val="0"/>
              <w:snapToGrid w:val="0"/>
              <w:ind w:firstLine="0" w:firstLineChars="0"/>
              <w:rPr>
                <w:rFonts w:hAnsi="宋体" w:cs="宋体"/>
                <w:sz w:val="18"/>
                <w:szCs w:val="18"/>
              </w:rPr>
            </w:pPr>
            <w:r>
              <w:rPr>
                <w:rFonts w:hAnsi="宋体" w:cs="宋体"/>
                <w:sz w:val="18"/>
                <w:szCs w:val="18"/>
              </w:rPr>
              <w:t>基准回归</w:t>
            </w:r>
          </w:p>
        </w:tc>
        <w:tc>
          <w:tcPr>
            <w:tcW w:w="1356" w:type="dxa"/>
            <w:vMerge w:val="continue"/>
            <w:vAlign w:val="center"/>
          </w:tcPr>
          <w:p w14:paraId="4651A103">
            <w:pPr>
              <w:pStyle w:val="10"/>
              <w:adjustRightInd w:val="0"/>
              <w:snapToGrid w:val="0"/>
              <w:ind w:firstLine="0" w:firstLineChars="0"/>
              <w:jc w:val="center"/>
              <w:rPr>
                <w:rFonts w:hAnsi="宋体" w:cs="宋体"/>
                <w:sz w:val="18"/>
                <w:szCs w:val="18"/>
              </w:rPr>
            </w:pPr>
          </w:p>
        </w:tc>
      </w:tr>
      <w:tr w14:paraId="12E4A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2BCF011">
            <w:pPr>
              <w:pStyle w:val="10"/>
              <w:adjustRightInd w:val="0"/>
              <w:snapToGrid w:val="0"/>
              <w:ind w:firstLine="0" w:firstLineChars="0"/>
              <w:jc w:val="center"/>
              <w:rPr>
                <w:rFonts w:hAnsi="宋体" w:cs="宋体"/>
                <w:sz w:val="18"/>
                <w:szCs w:val="18"/>
              </w:rPr>
            </w:pPr>
          </w:p>
        </w:tc>
        <w:tc>
          <w:tcPr>
            <w:tcW w:w="1240" w:type="dxa"/>
            <w:vMerge w:val="continue"/>
            <w:vAlign w:val="center"/>
          </w:tcPr>
          <w:p w14:paraId="2552684F">
            <w:pPr>
              <w:pStyle w:val="10"/>
              <w:adjustRightInd w:val="0"/>
              <w:snapToGrid w:val="0"/>
              <w:ind w:firstLine="0" w:firstLineChars="0"/>
              <w:rPr>
                <w:rFonts w:hAnsi="宋体" w:cs="宋体"/>
                <w:sz w:val="18"/>
                <w:szCs w:val="18"/>
              </w:rPr>
            </w:pPr>
          </w:p>
        </w:tc>
        <w:tc>
          <w:tcPr>
            <w:tcW w:w="5058" w:type="dxa"/>
            <w:vAlign w:val="center"/>
          </w:tcPr>
          <w:p w14:paraId="65787804">
            <w:pPr>
              <w:pStyle w:val="10"/>
              <w:adjustRightInd w:val="0"/>
              <w:snapToGrid w:val="0"/>
              <w:ind w:firstLine="0" w:firstLineChars="0"/>
              <w:rPr>
                <w:rFonts w:hAnsi="宋体" w:cs="宋体"/>
                <w:sz w:val="18"/>
                <w:szCs w:val="18"/>
              </w:rPr>
            </w:pPr>
            <w:r>
              <w:rPr>
                <w:rFonts w:hAnsi="宋体" w:cs="宋体"/>
                <w:sz w:val="18"/>
                <w:szCs w:val="18"/>
                <w:lang w:bidi="ar"/>
              </w:rPr>
              <w:t>企业避税的动态效应</w:t>
            </w:r>
          </w:p>
        </w:tc>
        <w:tc>
          <w:tcPr>
            <w:tcW w:w="1356" w:type="dxa"/>
            <w:vMerge w:val="continue"/>
            <w:vAlign w:val="center"/>
          </w:tcPr>
          <w:p w14:paraId="59A10FB6">
            <w:pPr>
              <w:pStyle w:val="10"/>
              <w:adjustRightInd w:val="0"/>
              <w:snapToGrid w:val="0"/>
              <w:ind w:firstLine="0" w:firstLineChars="0"/>
              <w:jc w:val="center"/>
              <w:rPr>
                <w:rFonts w:hAnsi="宋体" w:cs="宋体"/>
                <w:sz w:val="18"/>
                <w:szCs w:val="18"/>
              </w:rPr>
            </w:pPr>
          </w:p>
        </w:tc>
      </w:tr>
      <w:tr w14:paraId="457F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8CC314F">
            <w:pPr>
              <w:pStyle w:val="10"/>
              <w:adjustRightInd w:val="0"/>
              <w:snapToGrid w:val="0"/>
              <w:ind w:firstLine="0" w:firstLineChars="0"/>
              <w:jc w:val="center"/>
              <w:rPr>
                <w:rFonts w:hAnsi="宋体" w:cs="宋体"/>
                <w:sz w:val="18"/>
                <w:szCs w:val="18"/>
              </w:rPr>
            </w:pPr>
          </w:p>
        </w:tc>
        <w:tc>
          <w:tcPr>
            <w:tcW w:w="1240" w:type="dxa"/>
            <w:vMerge w:val="continue"/>
            <w:vAlign w:val="center"/>
          </w:tcPr>
          <w:p w14:paraId="7C8C8806">
            <w:pPr>
              <w:pStyle w:val="10"/>
              <w:adjustRightInd w:val="0"/>
              <w:snapToGrid w:val="0"/>
              <w:ind w:firstLine="0" w:firstLineChars="0"/>
              <w:rPr>
                <w:rFonts w:hAnsi="宋体" w:cs="宋体"/>
                <w:sz w:val="18"/>
                <w:szCs w:val="18"/>
              </w:rPr>
            </w:pPr>
          </w:p>
        </w:tc>
        <w:tc>
          <w:tcPr>
            <w:tcW w:w="5058" w:type="dxa"/>
            <w:vAlign w:val="center"/>
          </w:tcPr>
          <w:p w14:paraId="364B56B3">
            <w:pPr>
              <w:pStyle w:val="10"/>
              <w:adjustRightInd w:val="0"/>
              <w:snapToGrid w:val="0"/>
              <w:ind w:firstLine="0" w:firstLineChars="0"/>
              <w:rPr>
                <w:rFonts w:hAnsi="宋体" w:cs="宋体"/>
                <w:sz w:val="18"/>
                <w:szCs w:val="18"/>
              </w:rPr>
            </w:pPr>
            <w:r>
              <w:rPr>
                <w:rFonts w:hAnsi="宋体" w:cs="宋体"/>
                <w:sz w:val="18"/>
                <w:szCs w:val="18"/>
              </w:rPr>
              <w:t>机制检验</w:t>
            </w:r>
          </w:p>
        </w:tc>
        <w:tc>
          <w:tcPr>
            <w:tcW w:w="1356" w:type="dxa"/>
            <w:vMerge w:val="continue"/>
            <w:vAlign w:val="center"/>
          </w:tcPr>
          <w:p w14:paraId="0349E912">
            <w:pPr>
              <w:pStyle w:val="10"/>
              <w:adjustRightInd w:val="0"/>
              <w:snapToGrid w:val="0"/>
              <w:ind w:firstLine="0" w:firstLineChars="0"/>
              <w:jc w:val="center"/>
              <w:rPr>
                <w:rFonts w:hAnsi="宋体" w:cs="宋体"/>
                <w:sz w:val="18"/>
                <w:szCs w:val="18"/>
              </w:rPr>
            </w:pPr>
          </w:p>
        </w:tc>
      </w:tr>
      <w:tr w14:paraId="64C78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84BEDCE">
            <w:pPr>
              <w:pStyle w:val="10"/>
              <w:adjustRightInd w:val="0"/>
              <w:snapToGrid w:val="0"/>
              <w:ind w:firstLine="0" w:firstLineChars="0"/>
              <w:jc w:val="center"/>
              <w:rPr>
                <w:rFonts w:hAnsi="宋体" w:cs="宋体"/>
                <w:sz w:val="18"/>
                <w:szCs w:val="18"/>
              </w:rPr>
            </w:pPr>
          </w:p>
        </w:tc>
        <w:tc>
          <w:tcPr>
            <w:tcW w:w="1240" w:type="dxa"/>
            <w:vMerge w:val="continue"/>
            <w:vAlign w:val="center"/>
          </w:tcPr>
          <w:p w14:paraId="53EED412">
            <w:pPr>
              <w:pStyle w:val="10"/>
              <w:adjustRightInd w:val="0"/>
              <w:snapToGrid w:val="0"/>
              <w:ind w:firstLine="0" w:firstLineChars="0"/>
              <w:rPr>
                <w:rFonts w:hAnsi="宋体" w:cs="宋体"/>
                <w:sz w:val="18"/>
                <w:szCs w:val="18"/>
              </w:rPr>
            </w:pPr>
          </w:p>
        </w:tc>
        <w:tc>
          <w:tcPr>
            <w:tcW w:w="5058" w:type="dxa"/>
            <w:vAlign w:val="center"/>
          </w:tcPr>
          <w:p w14:paraId="0C4AA762">
            <w:pPr>
              <w:pStyle w:val="10"/>
              <w:adjustRightInd w:val="0"/>
              <w:snapToGrid w:val="0"/>
              <w:ind w:firstLine="0" w:firstLineChars="0"/>
              <w:rPr>
                <w:rFonts w:hAnsi="宋体" w:cs="宋体"/>
                <w:sz w:val="18"/>
                <w:szCs w:val="18"/>
              </w:rPr>
            </w:pPr>
            <w:r>
              <w:rPr>
                <w:rFonts w:hAnsi="宋体" w:cs="宋体"/>
                <w:sz w:val="18"/>
                <w:szCs w:val="18"/>
              </w:rPr>
              <w:t>机制检验：财务约束</w:t>
            </w:r>
          </w:p>
        </w:tc>
        <w:tc>
          <w:tcPr>
            <w:tcW w:w="1356" w:type="dxa"/>
            <w:vMerge w:val="continue"/>
            <w:vAlign w:val="center"/>
          </w:tcPr>
          <w:p w14:paraId="27042335">
            <w:pPr>
              <w:pStyle w:val="10"/>
              <w:adjustRightInd w:val="0"/>
              <w:snapToGrid w:val="0"/>
              <w:ind w:firstLine="0" w:firstLineChars="0"/>
              <w:jc w:val="center"/>
              <w:rPr>
                <w:rFonts w:hAnsi="宋体" w:cs="宋体"/>
                <w:sz w:val="18"/>
                <w:szCs w:val="18"/>
              </w:rPr>
            </w:pPr>
          </w:p>
        </w:tc>
      </w:tr>
      <w:tr w14:paraId="1BEB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4E503BE">
            <w:pPr>
              <w:pStyle w:val="10"/>
              <w:adjustRightInd w:val="0"/>
              <w:snapToGrid w:val="0"/>
              <w:ind w:firstLine="0" w:firstLineChars="0"/>
              <w:jc w:val="center"/>
              <w:rPr>
                <w:rFonts w:hAnsi="宋体" w:cs="宋体"/>
                <w:sz w:val="18"/>
                <w:szCs w:val="18"/>
              </w:rPr>
            </w:pPr>
          </w:p>
        </w:tc>
        <w:tc>
          <w:tcPr>
            <w:tcW w:w="1240" w:type="dxa"/>
            <w:vMerge w:val="continue"/>
            <w:vAlign w:val="center"/>
          </w:tcPr>
          <w:p w14:paraId="70CD7B2B">
            <w:pPr>
              <w:pStyle w:val="10"/>
              <w:adjustRightInd w:val="0"/>
              <w:snapToGrid w:val="0"/>
              <w:ind w:firstLine="0" w:firstLineChars="0"/>
              <w:rPr>
                <w:rFonts w:hAnsi="宋体" w:cs="宋体"/>
                <w:sz w:val="18"/>
                <w:szCs w:val="18"/>
              </w:rPr>
            </w:pPr>
          </w:p>
        </w:tc>
        <w:tc>
          <w:tcPr>
            <w:tcW w:w="5058" w:type="dxa"/>
            <w:vAlign w:val="center"/>
          </w:tcPr>
          <w:p w14:paraId="15FB1716">
            <w:pPr>
              <w:pStyle w:val="10"/>
              <w:adjustRightInd w:val="0"/>
              <w:snapToGrid w:val="0"/>
              <w:ind w:firstLine="0" w:firstLineChars="0"/>
              <w:rPr>
                <w:rFonts w:hAnsi="宋体" w:cs="宋体"/>
                <w:sz w:val="18"/>
                <w:szCs w:val="18"/>
              </w:rPr>
            </w:pPr>
            <w:r>
              <w:rPr>
                <w:rFonts w:hAnsi="宋体" w:cs="宋体"/>
                <w:sz w:val="18"/>
                <w:szCs w:val="18"/>
              </w:rPr>
              <w:t>机制检验：规模大小</w:t>
            </w:r>
          </w:p>
        </w:tc>
        <w:tc>
          <w:tcPr>
            <w:tcW w:w="1356" w:type="dxa"/>
            <w:vMerge w:val="continue"/>
            <w:vAlign w:val="center"/>
          </w:tcPr>
          <w:p w14:paraId="5CB16136">
            <w:pPr>
              <w:pStyle w:val="10"/>
              <w:adjustRightInd w:val="0"/>
              <w:snapToGrid w:val="0"/>
              <w:ind w:firstLine="0" w:firstLineChars="0"/>
              <w:jc w:val="center"/>
              <w:rPr>
                <w:rFonts w:hAnsi="宋体" w:cs="宋体"/>
                <w:sz w:val="18"/>
                <w:szCs w:val="18"/>
              </w:rPr>
            </w:pPr>
          </w:p>
        </w:tc>
      </w:tr>
      <w:tr w14:paraId="3849E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9286741">
            <w:pPr>
              <w:pStyle w:val="10"/>
              <w:adjustRightInd w:val="0"/>
              <w:snapToGrid w:val="0"/>
              <w:ind w:firstLine="0" w:firstLineChars="0"/>
              <w:jc w:val="center"/>
              <w:rPr>
                <w:rFonts w:hAnsi="宋体" w:cs="宋体"/>
                <w:sz w:val="18"/>
                <w:szCs w:val="18"/>
              </w:rPr>
            </w:pPr>
          </w:p>
        </w:tc>
        <w:tc>
          <w:tcPr>
            <w:tcW w:w="1240" w:type="dxa"/>
            <w:vMerge w:val="continue"/>
            <w:vAlign w:val="center"/>
          </w:tcPr>
          <w:p w14:paraId="0E0DF232">
            <w:pPr>
              <w:pStyle w:val="10"/>
              <w:adjustRightInd w:val="0"/>
              <w:snapToGrid w:val="0"/>
              <w:ind w:firstLine="0" w:firstLineChars="0"/>
              <w:rPr>
                <w:rFonts w:hAnsi="宋体" w:cs="宋体"/>
                <w:sz w:val="18"/>
                <w:szCs w:val="18"/>
              </w:rPr>
            </w:pPr>
          </w:p>
        </w:tc>
        <w:tc>
          <w:tcPr>
            <w:tcW w:w="5058" w:type="dxa"/>
            <w:vAlign w:val="center"/>
          </w:tcPr>
          <w:p w14:paraId="481129E0">
            <w:pPr>
              <w:pStyle w:val="10"/>
              <w:adjustRightInd w:val="0"/>
              <w:snapToGrid w:val="0"/>
              <w:ind w:firstLine="0" w:firstLineChars="0"/>
              <w:rPr>
                <w:rFonts w:hAnsi="宋体" w:cs="宋体"/>
                <w:sz w:val="18"/>
                <w:szCs w:val="18"/>
              </w:rPr>
            </w:pPr>
            <w:r>
              <w:rPr>
                <w:rFonts w:hAnsi="宋体" w:cs="宋体"/>
                <w:sz w:val="18"/>
                <w:szCs w:val="18"/>
              </w:rPr>
              <w:t>排除竞争性假说</w:t>
            </w:r>
          </w:p>
        </w:tc>
        <w:tc>
          <w:tcPr>
            <w:tcW w:w="1356" w:type="dxa"/>
            <w:vMerge w:val="continue"/>
            <w:vAlign w:val="center"/>
          </w:tcPr>
          <w:p w14:paraId="55805BAD">
            <w:pPr>
              <w:pStyle w:val="10"/>
              <w:adjustRightInd w:val="0"/>
              <w:snapToGrid w:val="0"/>
              <w:ind w:firstLine="0" w:firstLineChars="0"/>
              <w:jc w:val="center"/>
              <w:rPr>
                <w:rFonts w:hAnsi="宋体" w:cs="宋体"/>
                <w:sz w:val="18"/>
                <w:szCs w:val="18"/>
              </w:rPr>
            </w:pPr>
          </w:p>
        </w:tc>
      </w:tr>
      <w:tr w14:paraId="56816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6EA6C55">
            <w:pPr>
              <w:pStyle w:val="10"/>
              <w:adjustRightInd w:val="0"/>
              <w:snapToGrid w:val="0"/>
              <w:ind w:firstLine="0" w:firstLineChars="0"/>
              <w:jc w:val="center"/>
              <w:rPr>
                <w:rFonts w:hAnsi="宋体" w:cs="宋体"/>
                <w:sz w:val="18"/>
                <w:szCs w:val="18"/>
              </w:rPr>
            </w:pPr>
          </w:p>
        </w:tc>
        <w:tc>
          <w:tcPr>
            <w:tcW w:w="1240" w:type="dxa"/>
            <w:vMerge w:val="continue"/>
            <w:vAlign w:val="center"/>
          </w:tcPr>
          <w:p w14:paraId="6A4AB3B2">
            <w:pPr>
              <w:pStyle w:val="10"/>
              <w:adjustRightInd w:val="0"/>
              <w:snapToGrid w:val="0"/>
              <w:ind w:firstLine="0" w:firstLineChars="0"/>
              <w:rPr>
                <w:rFonts w:hAnsi="宋体" w:cs="宋体"/>
                <w:sz w:val="18"/>
                <w:szCs w:val="18"/>
              </w:rPr>
            </w:pPr>
          </w:p>
        </w:tc>
        <w:tc>
          <w:tcPr>
            <w:tcW w:w="5058" w:type="dxa"/>
            <w:vAlign w:val="center"/>
          </w:tcPr>
          <w:p w14:paraId="4EDCA40E">
            <w:pPr>
              <w:pStyle w:val="10"/>
              <w:adjustRightInd w:val="0"/>
              <w:snapToGrid w:val="0"/>
              <w:ind w:firstLine="0" w:firstLineChars="0"/>
              <w:rPr>
                <w:rFonts w:hAnsi="宋体" w:cs="宋体"/>
                <w:sz w:val="18"/>
                <w:szCs w:val="18"/>
              </w:rPr>
            </w:pPr>
            <w:r>
              <w:rPr>
                <w:rFonts w:hAnsi="宋体" w:cs="宋体"/>
                <w:sz w:val="18"/>
                <w:szCs w:val="18"/>
              </w:rPr>
              <w:t>企业避税的手段</w:t>
            </w:r>
          </w:p>
        </w:tc>
        <w:tc>
          <w:tcPr>
            <w:tcW w:w="1356" w:type="dxa"/>
            <w:vMerge w:val="continue"/>
            <w:vAlign w:val="center"/>
          </w:tcPr>
          <w:p w14:paraId="018E989D">
            <w:pPr>
              <w:pStyle w:val="10"/>
              <w:adjustRightInd w:val="0"/>
              <w:snapToGrid w:val="0"/>
              <w:ind w:firstLine="0" w:firstLineChars="0"/>
              <w:jc w:val="center"/>
              <w:rPr>
                <w:rFonts w:hAnsi="宋体" w:cs="宋体"/>
                <w:sz w:val="18"/>
                <w:szCs w:val="18"/>
              </w:rPr>
            </w:pPr>
          </w:p>
        </w:tc>
      </w:tr>
      <w:tr w14:paraId="053CD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D161427">
            <w:pPr>
              <w:pStyle w:val="10"/>
              <w:adjustRightInd w:val="0"/>
              <w:snapToGrid w:val="0"/>
              <w:ind w:firstLine="0" w:firstLineChars="0"/>
              <w:jc w:val="center"/>
              <w:rPr>
                <w:rFonts w:hAnsi="宋体" w:cs="宋体"/>
                <w:sz w:val="18"/>
                <w:szCs w:val="18"/>
              </w:rPr>
            </w:pPr>
          </w:p>
        </w:tc>
        <w:tc>
          <w:tcPr>
            <w:tcW w:w="1240" w:type="dxa"/>
            <w:vMerge w:val="continue"/>
            <w:vAlign w:val="center"/>
          </w:tcPr>
          <w:p w14:paraId="1310018D">
            <w:pPr>
              <w:pStyle w:val="10"/>
              <w:adjustRightInd w:val="0"/>
              <w:snapToGrid w:val="0"/>
              <w:ind w:firstLine="0" w:firstLineChars="0"/>
              <w:rPr>
                <w:rFonts w:hAnsi="宋体" w:cs="宋体"/>
                <w:sz w:val="18"/>
                <w:szCs w:val="18"/>
              </w:rPr>
            </w:pPr>
          </w:p>
        </w:tc>
        <w:tc>
          <w:tcPr>
            <w:tcW w:w="5058" w:type="dxa"/>
            <w:vAlign w:val="center"/>
          </w:tcPr>
          <w:p w14:paraId="6818287B">
            <w:pPr>
              <w:pStyle w:val="10"/>
              <w:adjustRightInd w:val="0"/>
              <w:snapToGrid w:val="0"/>
              <w:ind w:firstLine="0" w:firstLineChars="0"/>
              <w:rPr>
                <w:rFonts w:hAnsi="宋体" w:cs="宋体"/>
                <w:sz w:val="18"/>
                <w:szCs w:val="18"/>
              </w:rPr>
            </w:pPr>
            <w:r>
              <w:rPr>
                <w:rFonts w:hAnsi="宋体" w:cs="宋体"/>
                <w:sz w:val="18"/>
                <w:szCs w:val="18"/>
              </w:rPr>
              <w:t>进一步分析：不同的政策支持方式</w:t>
            </w:r>
          </w:p>
        </w:tc>
        <w:tc>
          <w:tcPr>
            <w:tcW w:w="1356" w:type="dxa"/>
            <w:vMerge w:val="continue"/>
            <w:vAlign w:val="center"/>
          </w:tcPr>
          <w:p w14:paraId="01D5E19C">
            <w:pPr>
              <w:pStyle w:val="10"/>
              <w:adjustRightInd w:val="0"/>
              <w:snapToGrid w:val="0"/>
              <w:ind w:firstLine="0" w:firstLineChars="0"/>
              <w:jc w:val="center"/>
              <w:rPr>
                <w:rFonts w:hAnsi="宋体" w:cs="宋体"/>
                <w:sz w:val="18"/>
                <w:szCs w:val="18"/>
              </w:rPr>
            </w:pPr>
          </w:p>
        </w:tc>
      </w:tr>
      <w:tr w14:paraId="73551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A588329">
            <w:pPr>
              <w:pStyle w:val="10"/>
              <w:adjustRightInd w:val="0"/>
              <w:snapToGrid w:val="0"/>
              <w:ind w:firstLine="0" w:firstLineChars="0"/>
              <w:jc w:val="center"/>
              <w:rPr>
                <w:rFonts w:hAnsi="宋体" w:cs="宋体"/>
                <w:sz w:val="18"/>
                <w:szCs w:val="18"/>
              </w:rPr>
            </w:pPr>
          </w:p>
        </w:tc>
        <w:tc>
          <w:tcPr>
            <w:tcW w:w="1240" w:type="dxa"/>
            <w:vMerge w:val="continue"/>
            <w:vAlign w:val="center"/>
          </w:tcPr>
          <w:p w14:paraId="00AC8372">
            <w:pPr>
              <w:pStyle w:val="10"/>
              <w:adjustRightInd w:val="0"/>
              <w:snapToGrid w:val="0"/>
              <w:ind w:firstLine="0" w:firstLineChars="0"/>
              <w:rPr>
                <w:rFonts w:hAnsi="宋体" w:cs="宋体"/>
                <w:sz w:val="18"/>
                <w:szCs w:val="18"/>
              </w:rPr>
            </w:pPr>
          </w:p>
        </w:tc>
        <w:tc>
          <w:tcPr>
            <w:tcW w:w="5058" w:type="dxa"/>
            <w:vAlign w:val="center"/>
          </w:tcPr>
          <w:p w14:paraId="753B628A">
            <w:pPr>
              <w:pStyle w:val="10"/>
              <w:adjustRightInd w:val="0"/>
              <w:snapToGrid w:val="0"/>
              <w:ind w:firstLine="0" w:firstLineChars="0"/>
              <w:rPr>
                <w:rFonts w:hAnsi="宋体" w:cs="宋体"/>
                <w:sz w:val="18"/>
                <w:szCs w:val="18"/>
              </w:rPr>
            </w:pPr>
            <w:r>
              <w:rPr>
                <w:rFonts w:hAnsi="宋体" w:cs="宋体"/>
                <w:sz w:val="18"/>
                <w:szCs w:val="18"/>
              </w:rPr>
              <w:t>主要变量描述性统计</w:t>
            </w:r>
          </w:p>
        </w:tc>
        <w:tc>
          <w:tcPr>
            <w:tcW w:w="1356" w:type="dxa"/>
            <w:vMerge w:val="continue"/>
            <w:vAlign w:val="center"/>
          </w:tcPr>
          <w:p w14:paraId="02402EEE">
            <w:pPr>
              <w:pStyle w:val="10"/>
              <w:adjustRightInd w:val="0"/>
              <w:snapToGrid w:val="0"/>
              <w:ind w:firstLine="0" w:firstLineChars="0"/>
              <w:jc w:val="center"/>
              <w:rPr>
                <w:rFonts w:hAnsi="宋体" w:cs="宋体"/>
                <w:sz w:val="18"/>
                <w:szCs w:val="18"/>
              </w:rPr>
            </w:pPr>
          </w:p>
        </w:tc>
      </w:tr>
      <w:tr w14:paraId="79DF5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291685D">
            <w:pPr>
              <w:pStyle w:val="10"/>
              <w:adjustRightInd w:val="0"/>
              <w:snapToGrid w:val="0"/>
              <w:ind w:firstLine="0" w:firstLineChars="0"/>
              <w:jc w:val="center"/>
              <w:rPr>
                <w:rFonts w:hAnsi="宋体" w:cs="宋体"/>
                <w:sz w:val="18"/>
                <w:szCs w:val="18"/>
              </w:rPr>
            </w:pPr>
          </w:p>
        </w:tc>
        <w:tc>
          <w:tcPr>
            <w:tcW w:w="1240" w:type="dxa"/>
            <w:vMerge w:val="continue"/>
            <w:vAlign w:val="center"/>
          </w:tcPr>
          <w:p w14:paraId="3F5D790C">
            <w:pPr>
              <w:pStyle w:val="10"/>
              <w:adjustRightInd w:val="0"/>
              <w:snapToGrid w:val="0"/>
              <w:ind w:firstLine="0" w:firstLineChars="0"/>
              <w:rPr>
                <w:rFonts w:hAnsi="宋体" w:cs="宋体"/>
                <w:sz w:val="18"/>
                <w:szCs w:val="18"/>
              </w:rPr>
            </w:pPr>
          </w:p>
        </w:tc>
        <w:tc>
          <w:tcPr>
            <w:tcW w:w="5058" w:type="dxa"/>
            <w:vAlign w:val="center"/>
          </w:tcPr>
          <w:p w14:paraId="7FF9A336">
            <w:pPr>
              <w:pStyle w:val="10"/>
              <w:adjustRightInd w:val="0"/>
              <w:snapToGrid w:val="0"/>
              <w:ind w:firstLine="0" w:firstLineChars="0"/>
              <w:rPr>
                <w:rFonts w:hAnsi="宋体" w:cs="宋体"/>
                <w:sz w:val="18"/>
                <w:szCs w:val="18"/>
              </w:rPr>
            </w:pPr>
            <w:r>
              <w:rPr>
                <w:rFonts w:hAnsi="宋体" w:cs="宋体"/>
                <w:sz w:val="18"/>
                <w:szCs w:val="18"/>
              </w:rPr>
              <w:t>平滑性检验</w:t>
            </w:r>
          </w:p>
        </w:tc>
        <w:tc>
          <w:tcPr>
            <w:tcW w:w="1356" w:type="dxa"/>
            <w:vMerge w:val="continue"/>
            <w:vAlign w:val="center"/>
          </w:tcPr>
          <w:p w14:paraId="26F7575D">
            <w:pPr>
              <w:pStyle w:val="10"/>
              <w:adjustRightInd w:val="0"/>
              <w:snapToGrid w:val="0"/>
              <w:ind w:firstLine="0" w:firstLineChars="0"/>
              <w:jc w:val="center"/>
              <w:rPr>
                <w:rFonts w:hAnsi="宋体" w:cs="宋体"/>
                <w:sz w:val="18"/>
                <w:szCs w:val="18"/>
              </w:rPr>
            </w:pPr>
          </w:p>
        </w:tc>
      </w:tr>
      <w:tr w14:paraId="4CC22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73E812B">
            <w:pPr>
              <w:pStyle w:val="10"/>
              <w:adjustRightInd w:val="0"/>
              <w:snapToGrid w:val="0"/>
              <w:ind w:firstLine="0" w:firstLineChars="0"/>
              <w:jc w:val="center"/>
              <w:rPr>
                <w:rFonts w:hAnsi="宋体" w:cs="宋体"/>
                <w:sz w:val="18"/>
                <w:szCs w:val="18"/>
              </w:rPr>
            </w:pPr>
          </w:p>
        </w:tc>
        <w:tc>
          <w:tcPr>
            <w:tcW w:w="1240" w:type="dxa"/>
            <w:vMerge w:val="continue"/>
            <w:vAlign w:val="center"/>
          </w:tcPr>
          <w:p w14:paraId="03EDF6B6">
            <w:pPr>
              <w:pStyle w:val="10"/>
              <w:adjustRightInd w:val="0"/>
              <w:snapToGrid w:val="0"/>
              <w:ind w:firstLine="0" w:firstLineChars="0"/>
              <w:rPr>
                <w:rFonts w:hAnsi="宋体" w:cs="宋体"/>
                <w:sz w:val="18"/>
                <w:szCs w:val="18"/>
              </w:rPr>
            </w:pPr>
          </w:p>
        </w:tc>
        <w:tc>
          <w:tcPr>
            <w:tcW w:w="5058" w:type="dxa"/>
            <w:vAlign w:val="center"/>
          </w:tcPr>
          <w:p w14:paraId="5B1E5E69">
            <w:pPr>
              <w:pStyle w:val="10"/>
              <w:adjustRightInd w:val="0"/>
              <w:snapToGrid w:val="0"/>
              <w:ind w:firstLine="0" w:firstLineChars="0"/>
              <w:rPr>
                <w:rFonts w:hAnsi="宋体" w:cs="宋体"/>
                <w:sz w:val="18"/>
                <w:szCs w:val="18"/>
              </w:rPr>
            </w:pPr>
            <w:r>
              <w:rPr>
                <w:rFonts w:hAnsi="宋体" w:cs="宋体"/>
                <w:sz w:val="18"/>
                <w:szCs w:val="18"/>
              </w:rPr>
              <w:t>前定变量的连续性检验</w:t>
            </w:r>
          </w:p>
        </w:tc>
        <w:tc>
          <w:tcPr>
            <w:tcW w:w="1356" w:type="dxa"/>
            <w:vMerge w:val="continue"/>
            <w:vAlign w:val="center"/>
          </w:tcPr>
          <w:p w14:paraId="3718C81F">
            <w:pPr>
              <w:pStyle w:val="10"/>
              <w:adjustRightInd w:val="0"/>
              <w:snapToGrid w:val="0"/>
              <w:ind w:firstLine="0" w:firstLineChars="0"/>
              <w:jc w:val="center"/>
              <w:rPr>
                <w:rFonts w:hAnsi="宋体" w:cs="宋体"/>
                <w:sz w:val="18"/>
                <w:szCs w:val="18"/>
              </w:rPr>
            </w:pPr>
          </w:p>
        </w:tc>
      </w:tr>
      <w:tr w14:paraId="0307B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09C3405">
            <w:pPr>
              <w:pStyle w:val="10"/>
              <w:adjustRightInd w:val="0"/>
              <w:snapToGrid w:val="0"/>
              <w:ind w:firstLine="0" w:firstLineChars="0"/>
              <w:jc w:val="center"/>
              <w:rPr>
                <w:rFonts w:hAnsi="宋体" w:cs="宋体"/>
                <w:sz w:val="18"/>
                <w:szCs w:val="18"/>
              </w:rPr>
            </w:pPr>
          </w:p>
        </w:tc>
        <w:tc>
          <w:tcPr>
            <w:tcW w:w="1240" w:type="dxa"/>
            <w:vMerge w:val="continue"/>
            <w:vAlign w:val="center"/>
          </w:tcPr>
          <w:p w14:paraId="13848860">
            <w:pPr>
              <w:pStyle w:val="10"/>
              <w:adjustRightInd w:val="0"/>
              <w:snapToGrid w:val="0"/>
              <w:ind w:firstLine="0" w:firstLineChars="0"/>
              <w:rPr>
                <w:rFonts w:hAnsi="宋体" w:cs="宋体"/>
                <w:sz w:val="18"/>
                <w:szCs w:val="18"/>
              </w:rPr>
            </w:pPr>
          </w:p>
        </w:tc>
        <w:tc>
          <w:tcPr>
            <w:tcW w:w="5058" w:type="dxa"/>
            <w:vAlign w:val="center"/>
          </w:tcPr>
          <w:p w14:paraId="5E707535">
            <w:pPr>
              <w:pStyle w:val="10"/>
              <w:adjustRightInd w:val="0"/>
              <w:snapToGrid w:val="0"/>
              <w:ind w:firstLine="0" w:firstLineChars="0"/>
              <w:rPr>
                <w:rFonts w:hAnsi="宋体" w:cs="宋体"/>
                <w:sz w:val="18"/>
                <w:szCs w:val="18"/>
              </w:rPr>
            </w:pPr>
            <w:r>
              <w:rPr>
                <w:rFonts w:hAnsi="宋体" w:cs="宋体"/>
                <w:sz w:val="18"/>
                <w:szCs w:val="18"/>
              </w:rPr>
              <w:t>局部线性下不同带宽</w:t>
            </w:r>
          </w:p>
        </w:tc>
        <w:tc>
          <w:tcPr>
            <w:tcW w:w="1356" w:type="dxa"/>
            <w:vMerge w:val="continue"/>
            <w:vAlign w:val="center"/>
          </w:tcPr>
          <w:p w14:paraId="1B4D6426">
            <w:pPr>
              <w:pStyle w:val="10"/>
              <w:adjustRightInd w:val="0"/>
              <w:snapToGrid w:val="0"/>
              <w:ind w:firstLine="0" w:firstLineChars="0"/>
              <w:jc w:val="center"/>
              <w:rPr>
                <w:rFonts w:hAnsi="宋体" w:cs="宋体"/>
                <w:sz w:val="18"/>
                <w:szCs w:val="18"/>
              </w:rPr>
            </w:pPr>
          </w:p>
        </w:tc>
      </w:tr>
      <w:tr w14:paraId="6020E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AE5CA9E">
            <w:pPr>
              <w:pStyle w:val="10"/>
              <w:adjustRightInd w:val="0"/>
              <w:snapToGrid w:val="0"/>
              <w:ind w:firstLine="0" w:firstLineChars="0"/>
              <w:jc w:val="center"/>
              <w:rPr>
                <w:rFonts w:hAnsi="宋体" w:cs="宋体"/>
                <w:sz w:val="18"/>
                <w:szCs w:val="18"/>
              </w:rPr>
            </w:pPr>
          </w:p>
        </w:tc>
        <w:tc>
          <w:tcPr>
            <w:tcW w:w="1240" w:type="dxa"/>
            <w:vMerge w:val="continue"/>
            <w:vAlign w:val="center"/>
          </w:tcPr>
          <w:p w14:paraId="3C9B0929">
            <w:pPr>
              <w:pStyle w:val="10"/>
              <w:adjustRightInd w:val="0"/>
              <w:snapToGrid w:val="0"/>
              <w:ind w:firstLine="0" w:firstLineChars="0"/>
              <w:rPr>
                <w:rFonts w:hAnsi="宋体" w:cs="宋体"/>
                <w:sz w:val="18"/>
                <w:szCs w:val="18"/>
              </w:rPr>
            </w:pPr>
          </w:p>
        </w:tc>
        <w:tc>
          <w:tcPr>
            <w:tcW w:w="5058" w:type="dxa"/>
            <w:vAlign w:val="center"/>
          </w:tcPr>
          <w:p w14:paraId="22BB3ABF">
            <w:pPr>
              <w:pStyle w:val="10"/>
              <w:adjustRightInd w:val="0"/>
              <w:snapToGrid w:val="0"/>
              <w:ind w:firstLine="0" w:firstLineChars="0"/>
              <w:rPr>
                <w:rFonts w:hAnsi="宋体" w:cs="宋体"/>
                <w:sz w:val="18"/>
                <w:szCs w:val="18"/>
              </w:rPr>
            </w:pPr>
            <w:r>
              <w:rPr>
                <w:rFonts w:hAnsi="宋体" w:cs="宋体"/>
                <w:sz w:val="18"/>
                <w:szCs w:val="18"/>
              </w:rPr>
              <w:t>稳健性检验</w:t>
            </w:r>
          </w:p>
        </w:tc>
        <w:tc>
          <w:tcPr>
            <w:tcW w:w="1356" w:type="dxa"/>
            <w:vMerge w:val="continue"/>
            <w:vAlign w:val="center"/>
          </w:tcPr>
          <w:p w14:paraId="03C9647E">
            <w:pPr>
              <w:pStyle w:val="10"/>
              <w:adjustRightInd w:val="0"/>
              <w:snapToGrid w:val="0"/>
              <w:ind w:firstLine="0" w:firstLineChars="0"/>
              <w:jc w:val="center"/>
              <w:rPr>
                <w:rFonts w:hAnsi="宋体" w:cs="宋体"/>
                <w:sz w:val="18"/>
                <w:szCs w:val="18"/>
              </w:rPr>
            </w:pPr>
          </w:p>
        </w:tc>
      </w:tr>
      <w:tr w14:paraId="47DAB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68EED5F0">
            <w:pPr>
              <w:pStyle w:val="10"/>
              <w:adjustRightInd w:val="0"/>
              <w:snapToGrid w:val="0"/>
              <w:ind w:firstLine="0" w:firstLineChars="0"/>
              <w:jc w:val="center"/>
              <w:rPr>
                <w:rFonts w:hAnsi="宋体" w:cs="宋体"/>
                <w:sz w:val="18"/>
                <w:szCs w:val="18"/>
              </w:rPr>
            </w:pPr>
          </w:p>
        </w:tc>
        <w:tc>
          <w:tcPr>
            <w:tcW w:w="1240" w:type="dxa"/>
            <w:vMerge w:val="continue"/>
            <w:vAlign w:val="center"/>
          </w:tcPr>
          <w:p w14:paraId="2D924AE7">
            <w:pPr>
              <w:pStyle w:val="10"/>
              <w:adjustRightInd w:val="0"/>
              <w:snapToGrid w:val="0"/>
              <w:ind w:firstLine="0" w:firstLineChars="0"/>
              <w:rPr>
                <w:rFonts w:hAnsi="宋体" w:cs="宋体"/>
                <w:sz w:val="18"/>
                <w:szCs w:val="18"/>
              </w:rPr>
            </w:pPr>
          </w:p>
        </w:tc>
        <w:tc>
          <w:tcPr>
            <w:tcW w:w="5058" w:type="dxa"/>
            <w:vAlign w:val="center"/>
          </w:tcPr>
          <w:p w14:paraId="60505D47">
            <w:pPr>
              <w:pStyle w:val="10"/>
              <w:adjustRightInd w:val="0"/>
              <w:snapToGrid w:val="0"/>
              <w:ind w:firstLine="0" w:firstLineChars="0"/>
              <w:rPr>
                <w:rFonts w:hAnsi="宋体" w:cs="宋体"/>
                <w:sz w:val="18"/>
                <w:szCs w:val="18"/>
              </w:rPr>
            </w:pPr>
            <w:r>
              <w:rPr>
                <w:rFonts w:hAnsi="宋体" w:cs="宋体"/>
                <w:sz w:val="18"/>
                <w:szCs w:val="18"/>
              </w:rPr>
              <w:t>全局多项式估计结果</w:t>
            </w:r>
          </w:p>
        </w:tc>
        <w:tc>
          <w:tcPr>
            <w:tcW w:w="1356" w:type="dxa"/>
            <w:vMerge w:val="continue"/>
            <w:vAlign w:val="center"/>
          </w:tcPr>
          <w:p w14:paraId="06175313">
            <w:pPr>
              <w:pStyle w:val="10"/>
              <w:adjustRightInd w:val="0"/>
              <w:snapToGrid w:val="0"/>
              <w:ind w:firstLine="0" w:firstLineChars="0"/>
              <w:jc w:val="center"/>
              <w:rPr>
                <w:rFonts w:hAnsi="宋体" w:cs="宋体"/>
                <w:sz w:val="18"/>
                <w:szCs w:val="18"/>
              </w:rPr>
            </w:pPr>
          </w:p>
        </w:tc>
      </w:tr>
      <w:tr w14:paraId="471B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BC745EC">
            <w:pPr>
              <w:pStyle w:val="10"/>
              <w:adjustRightInd w:val="0"/>
              <w:snapToGrid w:val="0"/>
              <w:ind w:firstLine="0" w:firstLineChars="0"/>
              <w:jc w:val="center"/>
              <w:rPr>
                <w:rFonts w:hAnsi="宋体" w:cs="宋体"/>
                <w:sz w:val="18"/>
                <w:szCs w:val="18"/>
              </w:rPr>
            </w:pPr>
          </w:p>
        </w:tc>
        <w:tc>
          <w:tcPr>
            <w:tcW w:w="1240" w:type="dxa"/>
            <w:vMerge w:val="continue"/>
            <w:vAlign w:val="center"/>
          </w:tcPr>
          <w:p w14:paraId="16D22E6D">
            <w:pPr>
              <w:pStyle w:val="10"/>
              <w:adjustRightInd w:val="0"/>
              <w:snapToGrid w:val="0"/>
              <w:ind w:firstLine="0" w:firstLineChars="0"/>
              <w:rPr>
                <w:rFonts w:hAnsi="宋体" w:cs="宋体"/>
                <w:sz w:val="18"/>
                <w:szCs w:val="18"/>
              </w:rPr>
            </w:pPr>
          </w:p>
        </w:tc>
        <w:tc>
          <w:tcPr>
            <w:tcW w:w="5058" w:type="dxa"/>
            <w:vAlign w:val="center"/>
          </w:tcPr>
          <w:p w14:paraId="184BCE36">
            <w:pPr>
              <w:pStyle w:val="10"/>
              <w:adjustRightInd w:val="0"/>
              <w:snapToGrid w:val="0"/>
              <w:ind w:firstLine="0" w:firstLineChars="0"/>
              <w:rPr>
                <w:rFonts w:hAnsi="宋体" w:cs="宋体"/>
                <w:sz w:val="18"/>
                <w:szCs w:val="18"/>
              </w:rPr>
            </w:pPr>
            <w:r>
              <w:rPr>
                <w:rFonts w:hAnsi="宋体" w:cs="宋体"/>
                <w:sz w:val="18"/>
                <w:szCs w:val="18"/>
              </w:rPr>
              <w:t>废气重点监控企业在断点两侧变化</w:t>
            </w:r>
          </w:p>
        </w:tc>
        <w:tc>
          <w:tcPr>
            <w:tcW w:w="1356" w:type="dxa"/>
            <w:vMerge w:val="continue"/>
            <w:vAlign w:val="center"/>
          </w:tcPr>
          <w:p w14:paraId="2F32B374">
            <w:pPr>
              <w:pStyle w:val="10"/>
              <w:adjustRightInd w:val="0"/>
              <w:snapToGrid w:val="0"/>
              <w:ind w:firstLine="0" w:firstLineChars="0"/>
              <w:jc w:val="center"/>
              <w:rPr>
                <w:rFonts w:hAnsi="宋体" w:cs="宋体"/>
                <w:sz w:val="18"/>
                <w:szCs w:val="18"/>
              </w:rPr>
            </w:pPr>
          </w:p>
        </w:tc>
      </w:tr>
      <w:tr w14:paraId="75429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7CF17ED">
            <w:pPr>
              <w:pStyle w:val="10"/>
              <w:adjustRightInd w:val="0"/>
              <w:snapToGrid w:val="0"/>
              <w:ind w:firstLine="0" w:firstLineChars="0"/>
              <w:jc w:val="center"/>
              <w:rPr>
                <w:rFonts w:hAnsi="宋体" w:cs="宋体"/>
                <w:sz w:val="18"/>
                <w:szCs w:val="18"/>
              </w:rPr>
            </w:pPr>
          </w:p>
        </w:tc>
        <w:tc>
          <w:tcPr>
            <w:tcW w:w="1240" w:type="dxa"/>
            <w:vMerge w:val="continue"/>
            <w:vAlign w:val="center"/>
          </w:tcPr>
          <w:p w14:paraId="5ED5E2BF">
            <w:pPr>
              <w:pStyle w:val="10"/>
              <w:adjustRightInd w:val="0"/>
              <w:snapToGrid w:val="0"/>
              <w:ind w:firstLine="0" w:firstLineChars="0"/>
              <w:rPr>
                <w:rFonts w:hAnsi="宋体" w:cs="宋体"/>
                <w:sz w:val="18"/>
                <w:szCs w:val="18"/>
              </w:rPr>
            </w:pPr>
          </w:p>
        </w:tc>
        <w:tc>
          <w:tcPr>
            <w:tcW w:w="5058" w:type="dxa"/>
            <w:vAlign w:val="center"/>
          </w:tcPr>
          <w:p w14:paraId="4E6898C5">
            <w:pPr>
              <w:pStyle w:val="10"/>
              <w:adjustRightInd w:val="0"/>
              <w:snapToGrid w:val="0"/>
              <w:ind w:firstLine="0" w:firstLineChars="0"/>
              <w:rPr>
                <w:rFonts w:hAnsi="宋体" w:cs="宋体"/>
                <w:sz w:val="18"/>
                <w:szCs w:val="18"/>
              </w:rPr>
            </w:pPr>
            <w:r>
              <w:rPr>
                <w:rFonts w:hAnsi="宋体" w:cs="宋体"/>
                <w:sz w:val="18"/>
                <w:szCs w:val="18"/>
              </w:rPr>
              <w:t>企业避税的可能手段</w:t>
            </w:r>
          </w:p>
        </w:tc>
        <w:tc>
          <w:tcPr>
            <w:tcW w:w="1356" w:type="dxa"/>
            <w:vMerge w:val="continue"/>
            <w:vAlign w:val="center"/>
          </w:tcPr>
          <w:p w14:paraId="1DB9A02D">
            <w:pPr>
              <w:pStyle w:val="10"/>
              <w:adjustRightInd w:val="0"/>
              <w:snapToGrid w:val="0"/>
              <w:ind w:firstLine="0" w:firstLineChars="0"/>
              <w:jc w:val="center"/>
              <w:rPr>
                <w:rFonts w:hAnsi="宋体" w:cs="宋体"/>
                <w:sz w:val="18"/>
                <w:szCs w:val="18"/>
              </w:rPr>
            </w:pPr>
          </w:p>
        </w:tc>
      </w:tr>
      <w:tr w14:paraId="2E13C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61A9ABE">
            <w:pPr>
              <w:pStyle w:val="10"/>
              <w:adjustRightInd w:val="0"/>
              <w:snapToGrid w:val="0"/>
              <w:ind w:firstLine="0" w:firstLineChars="0"/>
              <w:jc w:val="center"/>
              <w:rPr>
                <w:rFonts w:hAnsi="宋体" w:cs="宋体"/>
                <w:sz w:val="18"/>
                <w:szCs w:val="18"/>
              </w:rPr>
            </w:pPr>
          </w:p>
        </w:tc>
        <w:tc>
          <w:tcPr>
            <w:tcW w:w="1240" w:type="dxa"/>
            <w:vMerge w:val="restart"/>
            <w:vAlign w:val="center"/>
          </w:tcPr>
          <w:p w14:paraId="15AF1882">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794BF084">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7156E81E">
            <w:pPr>
              <w:pStyle w:val="10"/>
              <w:adjustRightInd w:val="0"/>
              <w:snapToGrid w:val="0"/>
              <w:ind w:firstLine="0" w:firstLineChars="0"/>
              <w:jc w:val="center"/>
              <w:rPr>
                <w:rFonts w:hAnsi="宋体" w:cs="宋体"/>
                <w:sz w:val="18"/>
                <w:szCs w:val="18"/>
              </w:rPr>
            </w:pPr>
          </w:p>
        </w:tc>
      </w:tr>
      <w:tr w14:paraId="1F683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75147A0">
            <w:pPr>
              <w:pStyle w:val="10"/>
              <w:adjustRightInd w:val="0"/>
              <w:snapToGrid w:val="0"/>
              <w:ind w:firstLine="0" w:firstLineChars="0"/>
              <w:jc w:val="center"/>
              <w:rPr>
                <w:rFonts w:hAnsi="宋体" w:cs="宋体"/>
                <w:sz w:val="18"/>
                <w:szCs w:val="18"/>
              </w:rPr>
            </w:pPr>
          </w:p>
        </w:tc>
        <w:tc>
          <w:tcPr>
            <w:tcW w:w="1240" w:type="dxa"/>
            <w:vMerge w:val="continue"/>
            <w:vAlign w:val="center"/>
          </w:tcPr>
          <w:p w14:paraId="143592C1">
            <w:pPr>
              <w:pStyle w:val="10"/>
              <w:adjustRightInd w:val="0"/>
              <w:snapToGrid w:val="0"/>
              <w:ind w:firstLine="0" w:firstLineChars="0"/>
              <w:rPr>
                <w:rFonts w:hAnsi="宋体" w:cs="宋体"/>
                <w:sz w:val="18"/>
                <w:szCs w:val="18"/>
              </w:rPr>
            </w:pPr>
          </w:p>
        </w:tc>
        <w:tc>
          <w:tcPr>
            <w:tcW w:w="5058" w:type="dxa"/>
            <w:vAlign w:val="center"/>
          </w:tcPr>
          <w:p w14:paraId="664BB07B">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断点回归模型</w:t>
            </w:r>
            <w:r>
              <w:rPr>
                <w:rFonts w:hAnsi="宋体" w:cs="宋体"/>
                <w:spacing w:val="10"/>
                <w:sz w:val="18"/>
                <w:szCs w:val="18"/>
              </w:rPr>
              <w:t>建模技巧与论文写作技巧</w:t>
            </w:r>
          </w:p>
        </w:tc>
        <w:tc>
          <w:tcPr>
            <w:tcW w:w="1356" w:type="dxa"/>
            <w:vMerge w:val="continue"/>
            <w:vAlign w:val="center"/>
          </w:tcPr>
          <w:p w14:paraId="00BE4BA2">
            <w:pPr>
              <w:pStyle w:val="10"/>
              <w:adjustRightInd w:val="0"/>
              <w:snapToGrid w:val="0"/>
              <w:ind w:firstLine="0" w:firstLineChars="0"/>
              <w:jc w:val="center"/>
              <w:rPr>
                <w:rFonts w:hAnsi="宋体" w:cs="宋体"/>
                <w:sz w:val="18"/>
                <w:szCs w:val="18"/>
              </w:rPr>
            </w:pPr>
          </w:p>
        </w:tc>
      </w:tr>
    </w:tbl>
    <w:p w14:paraId="7D075634">
      <w:pPr>
        <w:pStyle w:val="6"/>
        <w:numPr>
          <w:ilvl w:val="1"/>
          <w:numId w:val="10"/>
        </w:numPr>
        <w:tabs>
          <w:tab w:val="left" w:pos="1320"/>
        </w:tabs>
        <w:adjustRightInd w:val="0"/>
        <w:snapToGrid w:val="0"/>
        <w:ind w:left="0" w:firstLine="422" w:firstLineChars="200"/>
        <w:rPr>
          <w:rFonts w:hint="eastAsia" w:ascii="宋体" w:hAnsi="宋体" w:cs="宋体"/>
          <w:sz w:val="21"/>
          <w:szCs w:val="21"/>
        </w:rPr>
      </w:pPr>
      <w:bookmarkStart w:id="37" w:name="_Toc16298"/>
      <w:r>
        <w:rPr>
          <w:rFonts w:hint="eastAsia" w:ascii="宋体" w:hAnsi="宋体" w:cs="宋体"/>
          <w:sz w:val="21"/>
          <w:szCs w:val="21"/>
        </w:rPr>
        <w:t>多时点双重差分模型（资本市场国际化的鞭策效应_A股纳入MSCI指数与企业ESG表现）</w:t>
      </w:r>
      <w:bookmarkEnd w:id="37"/>
    </w:p>
    <w:bookmarkEnd w:id="30"/>
    <w:p w14:paraId="1D82F56D">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案例概述</w:t>
      </w:r>
    </w:p>
    <w:p w14:paraId="440E2173">
      <w:pPr>
        <w:adjustRightInd w:val="0"/>
        <w:snapToGrid w:val="0"/>
        <w:ind w:firstLine="36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r>
        <w:rPr>
          <w:rFonts w:hint="eastAsia" w:ascii="宋体" w:hAnsi="宋体" w:cs="宋体"/>
          <w:sz w:val="18"/>
          <w:szCs w:val="18"/>
          <w:lang w:bidi="ar"/>
        </w:rPr>
        <w:t>15 案例概述</w:t>
      </w:r>
    </w:p>
    <w:tbl>
      <w:tblPr>
        <w:tblStyle w:val="39"/>
        <w:tblW w:w="501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6824"/>
      </w:tblGrid>
      <w:tr w14:paraId="58FD05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1534" w:type="dxa"/>
            <w:vAlign w:val="center"/>
          </w:tcPr>
          <w:p w14:paraId="6D262439">
            <w:pPr>
              <w:pStyle w:val="10"/>
              <w:adjustRightInd w:val="0"/>
              <w:snapToGrid w:val="0"/>
              <w:ind w:firstLine="0" w:firstLineChars="0"/>
              <w:jc w:val="center"/>
              <w:rPr>
                <w:rFonts w:hAnsi="宋体" w:cs="宋体"/>
                <w:b/>
                <w:bCs/>
                <w:sz w:val="18"/>
                <w:szCs w:val="18"/>
              </w:rPr>
            </w:pPr>
            <w:r>
              <w:rPr>
                <w:rFonts w:hAnsi="宋体" w:cs="宋体"/>
                <w:b/>
                <w:bCs/>
                <w:sz w:val="18"/>
                <w:szCs w:val="18"/>
              </w:rPr>
              <w:t>模块</w:t>
            </w:r>
          </w:p>
        </w:tc>
        <w:tc>
          <w:tcPr>
            <w:tcW w:w="7008" w:type="dxa"/>
            <w:vAlign w:val="center"/>
          </w:tcPr>
          <w:p w14:paraId="6B488AAD">
            <w:pPr>
              <w:pStyle w:val="10"/>
              <w:adjustRightInd w:val="0"/>
              <w:snapToGrid w:val="0"/>
              <w:ind w:firstLine="0" w:firstLineChars="0"/>
              <w:jc w:val="center"/>
              <w:rPr>
                <w:rFonts w:hAnsi="宋体" w:cs="宋体"/>
                <w:b/>
                <w:bCs/>
                <w:sz w:val="18"/>
                <w:szCs w:val="18"/>
              </w:rPr>
            </w:pPr>
            <w:r>
              <w:rPr>
                <w:rFonts w:hAnsi="宋体" w:cs="宋体"/>
                <w:b/>
                <w:bCs/>
                <w:sz w:val="18"/>
                <w:szCs w:val="18"/>
              </w:rPr>
              <w:t>模块内容</w:t>
            </w:r>
          </w:p>
        </w:tc>
      </w:tr>
      <w:tr w14:paraId="0C1D5E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7DC18847">
            <w:pPr>
              <w:pStyle w:val="10"/>
              <w:adjustRightInd w:val="0"/>
              <w:snapToGrid w:val="0"/>
              <w:ind w:firstLine="0" w:firstLineChars="0"/>
              <w:jc w:val="center"/>
              <w:rPr>
                <w:rFonts w:hAnsi="宋体" w:cs="宋体"/>
                <w:sz w:val="18"/>
                <w:szCs w:val="18"/>
              </w:rPr>
            </w:pPr>
            <w:r>
              <w:rPr>
                <w:rFonts w:hAnsi="宋体" w:cs="宋体"/>
                <w:sz w:val="18"/>
                <w:szCs w:val="18"/>
              </w:rPr>
              <w:t>课时设置</w:t>
            </w:r>
          </w:p>
        </w:tc>
        <w:tc>
          <w:tcPr>
            <w:tcW w:w="7008" w:type="dxa"/>
            <w:vAlign w:val="center"/>
          </w:tcPr>
          <w:p w14:paraId="0496112B">
            <w:pPr>
              <w:pStyle w:val="10"/>
              <w:adjustRightInd w:val="0"/>
              <w:snapToGrid w:val="0"/>
              <w:ind w:firstLine="0" w:firstLineChars="0"/>
              <w:rPr>
                <w:rFonts w:hAnsi="宋体" w:cs="宋体"/>
                <w:sz w:val="18"/>
                <w:szCs w:val="18"/>
              </w:rPr>
            </w:pPr>
            <w:r>
              <w:rPr>
                <w:rFonts w:hAnsi="宋体" w:cs="宋体"/>
                <w:sz w:val="18"/>
                <w:szCs w:val="18"/>
              </w:rPr>
              <w:t>理论教学4学时，实践教学4学时，总计8学时。</w:t>
            </w:r>
          </w:p>
        </w:tc>
      </w:tr>
      <w:tr w14:paraId="6E61BF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534" w:type="dxa"/>
            <w:vAlign w:val="center"/>
          </w:tcPr>
          <w:p w14:paraId="5DBAC58B">
            <w:pPr>
              <w:pStyle w:val="10"/>
              <w:adjustRightInd w:val="0"/>
              <w:snapToGrid w:val="0"/>
              <w:ind w:firstLine="0" w:firstLineChars="0"/>
              <w:jc w:val="center"/>
              <w:rPr>
                <w:rFonts w:hAnsi="宋体" w:cs="宋体"/>
                <w:sz w:val="18"/>
                <w:szCs w:val="18"/>
              </w:rPr>
            </w:pPr>
            <w:r>
              <w:rPr>
                <w:rFonts w:hAnsi="宋体" w:cs="宋体"/>
                <w:sz w:val="18"/>
                <w:szCs w:val="18"/>
              </w:rPr>
              <w:t>案例资源</w:t>
            </w:r>
          </w:p>
        </w:tc>
        <w:tc>
          <w:tcPr>
            <w:tcW w:w="7008" w:type="dxa"/>
            <w:vAlign w:val="center"/>
          </w:tcPr>
          <w:p w14:paraId="61394D92">
            <w:pPr>
              <w:pStyle w:val="10"/>
              <w:adjustRightInd w:val="0"/>
              <w:snapToGrid w:val="0"/>
              <w:ind w:firstLine="0" w:firstLineChars="0"/>
              <w:jc w:val="left"/>
              <w:rPr>
                <w:rFonts w:hAnsi="宋体" w:cs="宋体"/>
                <w:sz w:val="18"/>
                <w:szCs w:val="18"/>
              </w:rPr>
            </w:pPr>
            <w:r>
              <w:rPr>
                <w:rFonts w:hAnsi="宋体" w:cs="宋体"/>
                <w:sz w:val="18"/>
                <w:szCs w:val="18"/>
              </w:rPr>
              <w:t>包含14份实训指导书、3份数据、1份论文仿写设计报告模板。</w:t>
            </w:r>
          </w:p>
        </w:tc>
      </w:tr>
      <w:tr w14:paraId="19AF55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534" w:type="dxa"/>
            <w:vAlign w:val="center"/>
          </w:tcPr>
          <w:p w14:paraId="36F65CA0">
            <w:pPr>
              <w:pStyle w:val="10"/>
              <w:adjustRightInd w:val="0"/>
              <w:snapToGrid w:val="0"/>
              <w:ind w:firstLine="0" w:firstLineChars="0"/>
              <w:jc w:val="center"/>
              <w:rPr>
                <w:rFonts w:hAnsi="宋体" w:cs="宋体"/>
                <w:sz w:val="18"/>
                <w:szCs w:val="18"/>
              </w:rPr>
            </w:pPr>
            <w:r>
              <w:rPr>
                <w:rFonts w:hAnsi="宋体" w:cs="宋体"/>
                <w:sz w:val="18"/>
                <w:szCs w:val="18"/>
              </w:rPr>
              <w:t>技能点</w:t>
            </w:r>
          </w:p>
        </w:tc>
        <w:tc>
          <w:tcPr>
            <w:tcW w:w="7008" w:type="dxa"/>
            <w:vAlign w:val="center"/>
          </w:tcPr>
          <w:p w14:paraId="244C2EE2">
            <w:pPr>
              <w:pStyle w:val="10"/>
              <w:adjustRightInd w:val="0"/>
              <w:snapToGrid w:val="0"/>
              <w:ind w:firstLine="0" w:firstLineChars="0"/>
              <w:jc w:val="left"/>
              <w:rPr>
                <w:rFonts w:hAnsi="宋体" w:cs="宋体"/>
                <w:sz w:val="18"/>
                <w:szCs w:val="18"/>
              </w:rPr>
            </w:pPr>
            <w:r>
              <w:rPr>
                <w:rFonts w:hAnsi="宋体" w:cs="宋体"/>
                <w:sz w:val="18"/>
                <w:szCs w:val="18"/>
              </w:rPr>
              <w:t>高效掌握多时点双重差分模型建模技巧与论文写作技巧</w:t>
            </w:r>
          </w:p>
        </w:tc>
      </w:tr>
      <w:tr w14:paraId="2B7118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1534" w:type="dxa"/>
            <w:vAlign w:val="center"/>
          </w:tcPr>
          <w:p w14:paraId="767ED1BC">
            <w:pPr>
              <w:pStyle w:val="10"/>
              <w:adjustRightInd w:val="0"/>
              <w:snapToGrid w:val="0"/>
              <w:ind w:firstLine="0" w:firstLineChars="0"/>
              <w:jc w:val="center"/>
              <w:rPr>
                <w:rFonts w:hAnsi="宋体" w:cs="宋体"/>
                <w:sz w:val="18"/>
                <w:szCs w:val="18"/>
              </w:rPr>
            </w:pPr>
            <w:r>
              <w:rPr>
                <w:rFonts w:hAnsi="宋体" w:cs="宋体"/>
                <w:sz w:val="18"/>
                <w:szCs w:val="18"/>
              </w:rPr>
              <w:t>操作复现</w:t>
            </w:r>
          </w:p>
        </w:tc>
        <w:tc>
          <w:tcPr>
            <w:tcW w:w="7008" w:type="dxa"/>
            <w:vAlign w:val="center"/>
          </w:tcPr>
          <w:p w14:paraId="7A410531">
            <w:pPr>
              <w:pStyle w:val="10"/>
              <w:adjustRightInd w:val="0"/>
              <w:snapToGrid w:val="0"/>
              <w:ind w:firstLine="0" w:firstLineChars="0"/>
              <w:jc w:val="left"/>
              <w:rPr>
                <w:rFonts w:hAnsi="宋体" w:cs="宋体"/>
                <w:sz w:val="18"/>
                <w:szCs w:val="18"/>
              </w:rPr>
            </w:pPr>
            <w:r>
              <w:rPr>
                <w:rFonts w:hAnsi="宋体" w:cs="宋体"/>
                <w:sz w:val="18"/>
                <w:szCs w:val="18"/>
              </w:rPr>
              <w:t>资本市场国际化的鞭策效应_A股纳入MSCI指数与企业ESG表现</w:t>
            </w:r>
          </w:p>
        </w:tc>
      </w:tr>
    </w:tbl>
    <w:p w14:paraId="2CBAFA15">
      <w:pPr>
        <w:adjustRightInd w:val="0"/>
        <w:snapToGrid w:val="0"/>
        <w:ind w:firstLine="420"/>
        <w:jc w:val="left"/>
        <w:rPr>
          <w:rFonts w:hint="eastAsia" w:ascii="宋体" w:hAnsi="宋体" w:cs="宋体"/>
          <w:sz w:val="21"/>
          <w:szCs w:val="21"/>
        </w:rPr>
      </w:pPr>
      <w:r>
        <w:rPr>
          <w:rFonts w:hint="eastAsia" w:ascii="宋体" w:hAnsi="宋体" w:cs="宋体"/>
          <w:sz w:val="21"/>
          <w:szCs w:val="21"/>
        </w:rPr>
        <w:t>多时点双重差分模型（Staggered Difference-in-Differences，Staggered DiD 或多期DID）是传统双重差分模型（DID）的扩展，适用于处理组个体（如企业、地区、个人）在不同时间点接受政策干预的场景。其核心特点是处理组接受干预的时间点不同，且可能存在动态处理效应。</w:t>
      </w:r>
    </w:p>
    <w:p w14:paraId="1C18B406">
      <w:pPr>
        <w:adjustRightInd w:val="0"/>
        <w:snapToGrid w:val="0"/>
        <w:ind w:firstLine="420"/>
        <w:jc w:val="left"/>
        <w:rPr>
          <w:rFonts w:hint="eastAsia" w:ascii="宋体" w:hAnsi="宋体" w:cs="宋体"/>
          <w:sz w:val="21"/>
          <w:szCs w:val="21"/>
        </w:rPr>
      </w:pPr>
      <w:r>
        <w:rPr>
          <w:rFonts w:hint="eastAsia" w:ascii="宋体" w:hAnsi="宋体" w:cs="宋体"/>
          <w:sz w:val="21"/>
          <w:szCs w:val="21"/>
        </w:rPr>
        <w:t>处理时间异质性：允许不同个体在不同时间点接受干预，适用于政策分阶段实施的场景。</w:t>
      </w:r>
    </w:p>
    <w:p w14:paraId="7ABF0D16">
      <w:pPr>
        <w:adjustRightInd w:val="0"/>
        <w:snapToGrid w:val="0"/>
        <w:ind w:firstLine="420"/>
        <w:jc w:val="left"/>
        <w:rPr>
          <w:rFonts w:hint="eastAsia" w:ascii="宋体" w:hAnsi="宋体" w:cs="宋体"/>
          <w:sz w:val="21"/>
          <w:szCs w:val="21"/>
        </w:rPr>
      </w:pPr>
      <w:r>
        <w:rPr>
          <w:rFonts w:hint="eastAsia" w:ascii="宋体" w:hAnsi="宋体" w:cs="宋体"/>
          <w:sz w:val="21"/>
          <w:szCs w:val="21"/>
        </w:rPr>
        <w:t>动态效应分析：通过事件研究法（Event Study）或异质性分析，捕捉政策效果的时变特征。</w:t>
      </w:r>
    </w:p>
    <w:p w14:paraId="0E660D11">
      <w:pPr>
        <w:adjustRightInd w:val="0"/>
        <w:snapToGrid w:val="0"/>
        <w:ind w:firstLine="420"/>
        <w:jc w:val="left"/>
        <w:rPr>
          <w:rFonts w:hint="eastAsia" w:ascii="宋体" w:hAnsi="宋体" w:cs="宋体"/>
          <w:sz w:val="21"/>
          <w:szCs w:val="21"/>
        </w:rPr>
      </w:pPr>
      <w:r>
        <w:rPr>
          <w:rFonts w:hint="eastAsia" w:ascii="宋体" w:hAnsi="宋体" w:cs="宋体"/>
          <w:sz w:val="21"/>
          <w:szCs w:val="21"/>
        </w:rPr>
        <w:t>灵活性：可结合双向固定效应（控制个体和时间效应），提高估计精度。</w:t>
      </w:r>
    </w:p>
    <w:p w14:paraId="7C0FF341">
      <w:pPr>
        <w:adjustRightInd w:val="0"/>
        <w:snapToGrid w:val="0"/>
        <w:ind w:firstLine="420"/>
        <w:jc w:val="left"/>
        <w:rPr>
          <w:rFonts w:hint="eastAsia" w:ascii="宋体" w:hAnsi="宋体" w:cs="宋体"/>
          <w:sz w:val="21"/>
          <w:szCs w:val="21"/>
        </w:rPr>
      </w:pPr>
      <w:r>
        <w:rPr>
          <w:rFonts w:hint="eastAsia" w:ascii="宋体" w:hAnsi="宋体" w:cs="宋体"/>
          <w:sz w:val="21"/>
          <w:szCs w:val="21"/>
        </w:rPr>
        <w:t>平行趋势假设严格：需检验处理组和对照组在干预前的趋势是否一致，否则可能导致估计偏差。</w:t>
      </w:r>
    </w:p>
    <w:p w14:paraId="0AF3F9A8">
      <w:pPr>
        <w:adjustRightInd w:val="0"/>
        <w:snapToGrid w:val="0"/>
        <w:ind w:firstLine="420"/>
        <w:jc w:val="left"/>
        <w:rPr>
          <w:rFonts w:hint="eastAsia" w:ascii="宋体" w:hAnsi="宋体" w:cs="宋体"/>
          <w:sz w:val="21"/>
          <w:szCs w:val="21"/>
        </w:rPr>
      </w:pPr>
      <w:r>
        <w:rPr>
          <w:rFonts w:hint="eastAsia" w:ascii="宋体" w:hAnsi="宋体" w:cs="宋体"/>
          <w:sz w:val="21"/>
          <w:szCs w:val="21"/>
        </w:rPr>
        <w:t>数据要求高：需要较长时间的面板数据（干预前后均有足够观测值）。</w:t>
      </w:r>
    </w:p>
    <w:p w14:paraId="4CBD4B04">
      <w:pPr>
        <w:adjustRightInd w:val="0"/>
        <w:snapToGrid w:val="0"/>
        <w:ind w:firstLine="420"/>
        <w:jc w:val="left"/>
        <w:rPr>
          <w:rFonts w:hint="eastAsia" w:ascii="宋体" w:hAnsi="宋体" w:cs="宋体"/>
          <w:sz w:val="21"/>
          <w:szCs w:val="21"/>
        </w:rPr>
      </w:pPr>
      <w:r>
        <w:rPr>
          <w:rFonts w:hint="eastAsia" w:ascii="宋体" w:hAnsi="宋体" w:cs="宋体"/>
          <w:sz w:val="21"/>
          <w:szCs w:val="21"/>
        </w:rPr>
        <w:t>混杂事件干扰：若研究期内发生其他重大事件，可能干扰政策效果的识别。</w:t>
      </w:r>
    </w:p>
    <w:p w14:paraId="14F3C002">
      <w:pPr>
        <w:adjustRightInd w:val="0"/>
        <w:snapToGrid w:val="0"/>
        <w:ind w:firstLine="420"/>
        <w:jc w:val="left"/>
        <w:rPr>
          <w:rFonts w:hint="eastAsia" w:ascii="宋体" w:hAnsi="宋体" w:cs="宋体"/>
          <w:sz w:val="21"/>
          <w:szCs w:val="21"/>
        </w:rPr>
      </w:pPr>
      <w:r>
        <w:rPr>
          <w:rFonts w:hint="eastAsia" w:ascii="宋体" w:hAnsi="宋体" w:cs="宋体"/>
          <w:sz w:val="21"/>
          <w:szCs w:val="21"/>
        </w:rPr>
        <w:t>多时点双重差分模型是一种强大的工具，适用于评估分阶段政策干预的效果，尤其在政策评估、技术扩散、公共卫生干预等领域具有重要应用价值。在实际应用中，需合理选择处理组和对照组，检验平行趋势假设，并通过动态效应分析和稳健性检验确保结果的可靠性。</w:t>
      </w:r>
    </w:p>
    <w:p w14:paraId="103D4556">
      <w:pPr>
        <w:pStyle w:val="2"/>
        <w:ind w:left="0" w:leftChars="0" w:firstLine="0" w:firstLineChars="0"/>
        <w:rPr>
          <w:rFonts w:hint="eastAsia"/>
        </w:rPr>
      </w:pPr>
      <w:r>
        <w:drawing>
          <wp:inline distT="0" distB="0" distL="114300" distR="114300">
            <wp:extent cx="5264150" cy="4154805"/>
            <wp:effectExtent l="0" t="0" r="6350" b="1079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34"/>
                    <a:stretch>
                      <a:fillRect/>
                    </a:stretch>
                  </pic:blipFill>
                  <pic:spPr>
                    <a:xfrm>
                      <a:off x="0" y="0"/>
                      <a:ext cx="5264150" cy="4154805"/>
                    </a:xfrm>
                    <a:prstGeom prst="rect">
                      <a:avLst/>
                    </a:prstGeom>
                    <a:noFill/>
                    <a:ln>
                      <a:noFill/>
                    </a:ln>
                  </pic:spPr>
                </pic:pic>
              </a:graphicData>
            </a:graphic>
          </wp:inline>
        </w:drawing>
      </w:r>
    </w:p>
    <w:p w14:paraId="6619C140">
      <w:pPr>
        <w:pStyle w:val="7"/>
        <w:numPr>
          <w:ilvl w:val="2"/>
          <w:numId w:val="11"/>
        </w:numPr>
        <w:adjustRightInd w:val="0"/>
        <w:snapToGrid w:val="0"/>
        <w:spacing w:before="0" w:after="0" w:line="360" w:lineRule="auto"/>
        <w:ind w:firstLine="422"/>
        <w:rPr>
          <w:rFonts w:hint="eastAsia" w:ascii="宋体" w:hAnsi="宋体" w:eastAsia="宋体" w:cs="宋体"/>
          <w:sz w:val="21"/>
          <w:szCs w:val="21"/>
        </w:rPr>
      </w:pPr>
      <w:r>
        <w:rPr>
          <w:rFonts w:hint="eastAsia" w:ascii="宋体" w:hAnsi="宋体" w:eastAsia="宋体" w:cs="宋体"/>
          <w:sz w:val="21"/>
          <w:szCs w:val="21"/>
        </w:rPr>
        <w:t>案例内容</w:t>
      </w:r>
    </w:p>
    <w:p w14:paraId="05179AC1">
      <w:pPr>
        <w:tabs>
          <w:tab w:val="left" w:pos="1320"/>
        </w:tabs>
        <w:adjustRightInd w:val="0"/>
        <w:snapToGrid w:val="0"/>
        <w:ind w:firstLine="0" w:firstLineChars="0"/>
        <w:jc w:val="center"/>
        <w:rPr>
          <w:rFonts w:hint="eastAsia" w:ascii="宋体" w:hAnsi="宋体" w:cs="宋体"/>
          <w:sz w:val="18"/>
          <w:szCs w:val="18"/>
          <w:lang w:bidi="ar"/>
        </w:rPr>
      </w:pPr>
      <w:r>
        <w:rPr>
          <w:rFonts w:hint="eastAsia" w:ascii="宋体" w:hAnsi="宋体" w:cs="宋体"/>
          <w:sz w:val="18"/>
          <w:szCs w:val="18"/>
          <w:lang w:bidi="ar"/>
        </w:rPr>
        <w:t>表</w:t>
      </w:r>
      <w:r>
        <w:rPr>
          <w:rFonts w:hint="eastAsia" w:ascii="宋体" w:hAnsi="宋体" w:cs="宋体"/>
          <w:sz w:val="18"/>
          <w:szCs w:val="18"/>
          <w:lang w:val="en-US" w:eastAsia="zh-CN" w:bidi="ar"/>
        </w:rPr>
        <w:t>2-</w:t>
      </w:r>
      <w:bookmarkStart w:id="39" w:name="_GoBack"/>
      <w:bookmarkEnd w:id="39"/>
      <w:r>
        <w:rPr>
          <w:rFonts w:hint="eastAsia" w:ascii="宋体" w:hAnsi="宋体" w:cs="宋体"/>
          <w:sz w:val="18"/>
          <w:szCs w:val="18"/>
          <w:lang w:bidi="ar"/>
        </w:rPr>
        <w:t>16 多时点双重差分模型（资本市场国际化的鞭策效应_A股纳入MSCI指数与企业ESG表现）</w:t>
      </w:r>
    </w:p>
    <w:tbl>
      <w:tblPr>
        <w:tblStyle w:val="18"/>
        <w:tblW w:w="87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1240"/>
        <w:gridCol w:w="5058"/>
        <w:gridCol w:w="1356"/>
      </w:tblGrid>
      <w:tr w14:paraId="73374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95" w:type="dxa"/>
            <w:shd w:val="clear" w:color="auto" w:fill="E6E6E6"/>
            <w:vAlign w:val="center"/>
          </w:tcPr>
          <w:p w14:paraId="7598A42B">
            <w:pPr>
              <w:pStyle w:val="10"/>
              <w:adjustRightInd w:val="0"/>
              <w:snapToGrid w:val="0"/>
              <w:ind w:firstLine="0" w:firstLineChars="0"/>
              <w:jc w:val="center"/>
              <w:rPr>
                <w:rFonts w:hAnsi="宋体" w:cs="宋体"/>
                <w:sz w:val="18"/>
                <w:szCs w:val="18"/>
              </w:rPr>
            </w:pPr>
            <w:r>
              <w:rPr>
                <w:rFonts w:hAnsi="宋体" w:cs="宋体"/>
                <w:sz w:val="18"/>
                <w:szCs w:val="18"/>
              </w:rPr>
              <w:t>一级模块</w:t>
            </w:r>
          </w:p>
        </w:tc>
        <w:tc>
          <w:tcPr>
            <w:tcW w:w="1240" w:type="dxa"/>
            <w:shd w:val="clear" w:color="auto" w:fill="E6E6E6"/>
            <w:vAlign w:val="center"/>
          </w:tcPr>
          <w:p w14:paraId="7BDEFF74">
            <w:pPr>
              <w:pStyle w:val="10"/>
              <w:adjustRightInd w:val="0"/>
              <w:snapToGrid w:val="0"/>
              <w:ind w:firstLine="0" w:firstLineChars="0"/>
              <w:jc w:val="center"/>
              <w:rPr>
                <w:rFonts w:hAnsi="宋体" w:cs="宋体"/>
                <w:sz w:val="18"/>
                <w:szCs w:val="18"/>
              </w:rPr>
            </w:pPr>
            <w:r>
              <w:rPr>
                <w:rFonts w:hAnsi="宋体" w:cs="宋体"/>
                <w:sz w:val="18"/>
                <w:szCs w:val="18"/>
              </w:rPr>
              <w:t>二级模块</w:t>
            </w:r>
          </w:p>
        </w:tc>
        <w:tc>
          <w:tcPr>
            <w:tcW w:w="5058" w:type="dxa"/>
            <w:shd w:val="clear" w:color="auto" w:fill="E6E6E6"/>
            <w:vAlign w:val="center"/>
          </w:tcPr>
          <w:p w14:paraId="34FAEC78">
            <w:pPr>
              <w:pStyle w:val="10"/>
              <w:adjustRightInd w:val="0"/>
              <w:snapToGrid w:val="0"/>
              <w:ind w:firstLine="0" w:firstLineChars="0"/>
              <w:jc w:val="center"/>
              <w:rPr>
                <w:rFonts w:hAnsi="宋体" w:cs="宋体"/>
                <w:sz w:val="18"/>
                <w:szCs w:val="18"/>
              </w:rPr>
            </w:pPr>
            <w:r>
              <w:rPr>
                <w:rFonts w:hAnsi="宋体" w:cs="宋体"/>
                <w:sz w:val="18"/>
                <w:szCs w:val="18"/>
              </w:rPr>
              <w:t>实验项目名称</w:t>
            </w:r>
          </w:p>
        </w:tc>
        <w:tc>
          <w:tcPr>
            <w:tcW w:w="1356" w:type="dxa"/>
            <w:shd w:val="clear" w:color="auto" w:fill="E6E6E6"/>
            <w:vAlign w:val="center"/>
          </w:tcPr>
          <w:p w14:paraId="194E7DA8">
            <w:pPr>
              <w:pStyle w:val="10"/>
              <w:adjustRightInd w:val="0"/>
              <w:snapToGrid w:val="0"/>
              <w:ind w:firstLine="0" w:firstLineChars="0"/>
              <w:jc w:val="center"/>
              <w:rPr>
                <w:rFonts w:hAnsi="宋体" w:cs="宋体"/>
                <w:sz w:val="18"/>
                <w:szCs w:val="18"/>
              </w:rPr>
            </w:pPr>
            <w:r>
              <w:rPr>
                <w:rFonts w:hAnsi="宋体" w:cs="宋体"/>
                <w:sz w:val="18"/>
                <w:szCs w:val="18"/>
              </w:rPr>
              <w:t>涉及平台</w:t>
            </w:r>
          </w:p>
        </w:tc>
      </w:tr>
      <w:tr w14:paraId="4939E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restart"/>
            <w:vAlign w:val="center"/>
          </w:tcPr>
          <w:p w14:paraId="2A177CE5">
            <w:pPr>
              <w:pStyle w:val="10"/>
              <w:adjustRightInd w:val="0"/>
              <w:snapToGrid w:val="0"/>
              <w:ind w:firstLine="0" w:firstLineChars="0"/>
              <w:jc w:val="center"/>
              <w:rPr>
                <w:rFonts w:hAnsi="宋体" w:cs="宋体"/>
                <w:sz w:val="18"/>
                <w:szCs w:val="18"/>
              </w:rPr>
            </w:pPr>
          </w:p>
          <w:p w14:paraId="621F1550">
            <w:pPr>
              <w:pStyle w:val="10"/>
              <w:adjustRightInd w:val="0"/>
              <w:snapToGrid w:val="0"/>
              <w:ind w:firstLine="0" w:firstLineChars="0"/>
              <w:jc w:val="center"/>
              <w:rPr>
                <w:rFonts w:hAnsi="宋体" w:cs="宋体"/>
                <w:sz w:val="18"/>
                <w:szCs w:val="18"/>
              </w:rPr>
            </w:pPr>
            <w:r>
              <w:rPr>
                <w:rFonts w:hAnsi="宋体" w:cs="宋体"/>
                <w:sz w:val="18"/>
                <w:szCs w:val="18"/>
              </w:rPr>
              <w:t>多时点双重差分模型（资本市场国际化的鞭策效应_A股纳入MSCI指数与企业ESG表现）</w:t>
            </w:r>
          </w:p>
        </w:tc>
        <w:tc>
          <w:tcPr>
            <w:tcW w:w="1240" w:type="dxa"/>
            <w:vMerge w:val="restart"/>
            <w:vAlign w:val="center"/>
          </w:tcPr>
          <w:p w14:paraId="5D8179C6">
            <w:pPr>
              <w:pStyle w:val="10"/>
              <w:adjustRightInd w:val="0"/>
              <w:snapToGrid w:val="0"/>
              <w:ind w:firstLine="0" w:firstLineChars="0"/>
              <w:rPr>
                <w:rFonts w:hAnsi="宋体" w:cs="宋体"/>
                <w:spacing w:val="10"/>
                <w:sz w:val="18"/>
                <w:szCs w:val="18"/>
              </w:rPr>
            </w:pPr>
            <w:r>
              <w:rPr>
                <w:rFonts w:hAnsi="宋体" w:cs="宋体"/>
                <w:spacing w:val="10"/>
                <w:sz w:val="18"/>
                <w:szCs w:val="18"/>
              </w:rPr>
              <w:t>实验准备</w:t>
            </w:r>
          </w:p>
        </w:tc>
        <w:tc>
          <w:tcPr>
            <w:tcW w:w="5058" w:type="dxa"/>
            <w:vAlign w:val="center"/>
          </w:tcPr>
          <w:p w14:paraId="4B29875B">
            <w:pPr>
              <w:pStyle w:val="10"/>
              <w:adjustRightInd w:val="0"/>
              <w:snapToGrid w:val="0"/>
              <w:ind w:firstLine="0" w:firstLineChars="0"/>
              <w:rPr>
                <w:rFonts w:hAnsi="宋体" w:cs="宋体"/>
                <w:color w:val="FF0000"/>
                <w:spacing w:val="10"/>
                <w:sz w:val="18"/>
                <w:szCs w:val="18"/>
              </w:rPr>
            </w:pPr>
            <w:r>
              <w:rPr>
                <w:rFonts w:hAnsi="宋体" w:cs="宋体"/>
                <w:sz w:val="18"/>
                <w:szCs w:val="18"/>
              </w:rPr>
              <w:t>打开并登录平台学习案例相关理论知识</w:t>
            </w:r>
          </w:p>
        </w:tc>
        <w:tc>
          <w:tcPr>
            <w:tcW w:w="1356" w:type="dxa"/>
            <w:vMerge w:val="restart"/>
            <w:vAlign w:val="center"/>
          </w:tcPr>
          <w:p w14:paraId="133A9384">
            <w:pPr>
              <w:pStyle w:val="10"/>
              <w:adjustRightInd w:val="0"/>
              <w:snapToGrid w:val="0"/>
              <w:ind w:firstLine="0" w:firstLineChars="0"/>
              <w:jc w:val="center"/>
              <w:rPr>
                <w:rFonts w:hAnsi="宋体" w:cs="宋体"/>
                <w:sz w:val="18"/>
                <w:szCs w:val="18"/>
              </w:rPr>
            </w:pPr>
            <w:r>
              <w:rPr>
                <w:rFonts w:hAnsi="宋体" w:cs="宋体"/>
                <w:sz w:val="18"/>
                <w:szCs w:val="18"/>
              </w:rPr>
              <w:t>AI金融计量教学平台</w:t>
            </w:r>
          </w:p>
        </w:tc>
      </w:tr>
      <w:tr w14:paraId="03038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C5A2B83">
            <w:pPr>
              <w:pStyle w:val="10"/>
              <w:adjustRightInd w:val="0"/>
              <w:snapToGrid w:val="0"/>
              <w:ind w:firstLine="0" w:firstLineChars="0"/>
              <w:jc w:val="center"/>
              <w:rPr>
                <w:rFonts w:hAnsi="宋体" w:cs="宋体"/>
                <w:sz w:val="18"/>
                <w:szCs w:val="18"/>
              </w:rPr>
            </w:pPr>
          </w:p>
        </w:tc>
        <w:tc>
          <w:tcPr>
            <w:tcW w:w="1240" w:type="dxa"/>
            <w:vMerge w:val="continue"/>
            <w:vAlign w:val="center"/>
          </w:tcPr>
          <w:p w14:paraId="3A442286">
            <w:pPr>
              <w:pStyle w:val="10"/>
              <w:adjustRightInd w:val="0"/>
              <w:snapToGrid w:val="0"/>
              <w:ind w:firstLine="0" w:firstLineChars="0"/>
              <w:rPr>
                <w:rFonts w:hAnsi="宋体" w:cs="宋体"/>
                <w:spacing w:val="10"/>
                <w:sz w:val="18"/>
                <w:szCs w:val="18"/>
              </w:rPr>
            </w:pPr>
          </w:p>
        </w:tc>
        <w:tc>
          <w:tcPr>
            <w:tcW w:w="5058" w:type="dxa"/>
            <w:vAlign w:val="center"/>
          </w:tcPr>
          <w:p w14:paraId="62ED31AA">
            <w:pPr>
              <w:pStyle w:val="10"/>
              <w:adjustRightInd w:val="0"/>
              <w:snapToGrid w:val="0"/>
              <w:ind w:firstLine="0" w:firstLineChars="0"/>
              <w:rPr>
                <w:rFonts w:hAnsi="宋体" w:cs="宋体"/>
                <w:color w:val="FF0000"/>
                <w:spacing w:val="10"/>
                <w:sz w:val="18"/>
                <w:szCs w:val="18"/>
              </w:rPr>
            </w:pPr>
            <w:r>
              <w:rPr>
                <w:rFonts w:hAnsi="宋体" w:cs="宋体"/>
                <w:sz w:val="18"/>
                <w:szCs w:val="18"/>
              </w:rPr>
              <w:t>准备案例相关数据</w:t>
            </w:r>
          </w:p>
        </w:tc>
        <w:tc>
          <w:tcPr>
            <w:tcW w:w="1356" w:type="dxa"/>
            <w:vMerge w:val="continue"/>
            <w:vAlign w:val="center"/>
          </w:tcPr>
          <w:p w14:paraId="40972F6F">
            <w:pPr>
              <w:pStyle w:val="10"/>
              <w:adjustRightInd w:val="0"/>
              <w:snapToGrid w:val="0"/>
              <w:ind w:firstLine="0" w:firstLineChars="0"/>
              <w:jc w:val="center"/>
              <w:rPr>
                <w:rFonts w:hAnsi="宋体" w:cs="宋体"/>
                <w:spacing w:val="10"/>
                <w:sz w:val="18"/>
                <w:szCs w:val="18"/>
              </w:rPr>
            </w:pPr>
          </w:p>
        </w:tc>
      </w:tr>
      <w:tr w14:paraId="110C2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92B005B">
            <w:pPr>
              <w:pStyle w:val="10"/>
              <w:adjustRightInd w:val="0"/>
              <w:snapToGrid w:val="0"/>
              <w:ind w:firstLine="0" w:firstLineChars="0"/>
              <w:jc w:val="center"/>
              <w:rPr>
                <w:rFonts w:hAnsi="宋体" w:cs="宋体"/>
                <w:sz w:val="18"/>
                <w:szCs w:val="18"/>
              </w:rPr>
            </w:pPr>
          </w:p>
        </w:tc>
        <w:tc>
          <w:tcPr>
            <w:tcW w:w="1240" w:type="dxa"/>
            <w:vMerge w:val="continue"/>
            <w:vAlign w:val="center"/>
          </w:tcPr>
          <w:p w14:paraId="41B96EBD">
            <w:pPr>
              <w:pStyle w:val="10"/>
              <w:adjustRightInd w:val="0"/>
              <w:snapToGrid w:val="0"/>
              <w:ind w:firstLine="0" w:firstLineChars="0"/>
              <w:rPr>
                <w:rFonts w:hAnsi="宋体" w:cs="宋体"/>
                <w:spacing w:val="10"/>
                <w:sz w:val="18"/>
                <w:szCs w:val="18"/>
              </w:rPr>
            </w:pPr>
          </w:p>
        </w:tc>
        <w:tc>
          <w:tcPr>
            <w:tcW w:w="5058" w:type="dxa"/>
            <w:vAlign w:val="center"/>
          </w:tcPr>
          <w:p w14:paraId="01DA24AD">
            <w:pPr>
              <w:pStyle w:val="10"/>
              <w:adjustRightInd w:val="0"/>
              <w:snapToGrid w:val="0"/>
              <w:ind w:firstLine="0" w:firstLineChars="0"/>
              <w:rPr>
                <w:rFonts w:hAnsi="宋体" w:cs="宋体"/>
                <w:color w:val="FF0000"/>
                <w:spacing w:val="10"/>
                <w:sz w:val="18"/>
                <w:szCs w:val="18"/>
              </w:rPr>
            </w:pPr>
            <w:r>
              <w:rPr>
                <w:rFonts w:hAnsi="宋体" w:cs="宋体"/>
                <w:sz w:val="18"/>
                <w:szCs w:val="18"/>
              </w:rPr>
              <w:t>准备仿写文档</w:t>
            </w:r>
          </w:p>
        </w:tc>
        <w:tc>
          <w:tcPr>
            <w:tcW w:w="1356" w:type="dxa"/>
            <w:vMerge w:val="continue"/>
            <w:vAlign w:val="center"/>
          </w:tcPr>
          <w:p w14:paraId="28BDB66C">
            <w:pPr>
              <w:pStyle w:val="10"/>
              <w:adjustRightInd w:val="0"/>
              <w:snapToGrid w:val="0"/>
              <w:ind w:firstLine="0" w:firstLineChars="0"/>
              <w:jc w:val="center"/>
              <w:rPr>
                <w:rFonts w:hAnsi="宋体" w:cs="宋体"/>
                <w:spacing w:val="10"/>
                <w:sz w:val="18"/>
                <w:szCs w:val="18"/>
              </w:rPr>
            </w:pPr>
          </w:p>
        </w:tc>
      </w:tr>
      <w:tr w14:paraId="05235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98914FC">
            <w:pPr>
              <w:pStyle w:val="10"/>
              <w:adjustRightInd w:val="0"/>
              <w:snapToGrid w:val="0"/>
              <w:ind w:firstLine="0" w:firstLineChars="0"/>
              <w:jc w:val="center"/>
              <w:rPr>
                <w:rFonts w:hAnsi="宋体" w:cs="宋体"/>
                <w:sz w:val="18"/>
                <w:szCs w:val="18"/>
              </w:rPr>
            </w:pPr>
          </w:p>
        </w:tc>
        <w:tc>
          <w:tcPr>
            <w:tcW w:w="1240" w:type="dxa"/>
            <w:vMerge w:val="restart"/>
            <w:vAlign w:val="center"/>
          </w:tcPr>
          <w:p w14:paraId="3AF6D732">
            <w:pPr>
              <w:pStyle w:val="10"/>
              <w:adjustRightInd w:val="0"/>
              <w:snapToGrid w:val="0"/>
              <w:ind w:firstLine="0" w:firstLineChars="0"/>
              <w:rPr>
                <w:rFonts w:hAnsi="宋体" w:cs="宋体"/>
                <w:sz w:val="18"/>
                <w:szCs w:val="18"/>
              </w:rPr>
            </w:pPr>
            <w:r>
              <w:rPr>
                <w:rFonts w:hAnsi="宋体" w:cs="宋体"/>
                <w:sz w:val="18"/>
                <w:szCs w:val="18"/>
              </w:rPr>
              <w:t>实施步骤</w:t>
            </w:r>
          </w:p>
        </w:tc>
        <w:tc>
          <w:tcPr>
            <w:tcW w:w="5058" w:type="dxa"/>
            <w:vAlign w:val="center"/>
          </w:tcPr>
          <w:p w14:paraId="2AAA763A">
            <w:pPr>
              <w:pStyle w:val="10"/>
              <w:adjustRightInd w:val="0"/>
              <w:snapToGrid w:val="0"/>
              <w:ind w:firstLine="0" w:firstLineChars="0"/>
              <w:rPr>
                <w:rFonts w:hAnsi="宋体" w:cs="宋体"/>
                <w:sz w:val="18"/>
                <w:szCs w:val="18"/>
              </w:rPr>
            </w:pPr>
            <w:r>
              <w:rPr>
                <w:rFonts w:hAnsi="宋体" w:cs="宋体"/>
                <w:sz w:val="18"/>
                <w:szCs w:val="18"/>
              </w:rPr>
              <w:t>主要变量的描述性统计</w:t>
            </w:r>
          </w:p>
        </w:tc>
        <w:tc>
          <w:tcPr>
            <w:tcW w:w="1356" w:type="dxa"/>
            <w:vMerge w:val="continue"/>
            <w:vAlign w:val="center"/>
          </w:tcPr>
          <w:p w14:paraId="68865979">
            <w:pPr>
              <w:pStyle w:val="10"/>
              <w:adjustRightInd w:val="0"/>
              <w:snapToGrid w:val="0"/>
              <w:ind w:firstLine="0" w:firstLineChars="0"/>
              <w:jc w:val="center"/>
              <w:rPr>
                <w:rFonts w:hAnsi="宋体" w:cs="宋体"/>
                <w:sz w:val="18"/>
                <w:szCs w:val="18"/>
              </w:rPr>
            </w:pPr>
          </w:p>
        </w:tc>
      </w:tr>
      <w:tr w14:paraId="388AF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8FEBB57">
            <w:pPr>
              <w:pStyle w:val="10"/>
              <w:adjustRightInd w:val="0"/>
              <w:snapToGrid w:val="0"/>
              <w:ind w:firstLine="0" w:firstLineChars="0"/>
              <w:jc w:val="center"/>
              <w:rPr>
                <w:rFonts w:hAnsi="宋体" w:cs="宋体"/>
                <w:sz w:val="18"/>
                <w:szCs w:val="18"/>
              </w:rPr>
            </w:pPr>
          </w:p>
        </w:tc>
        <w:tc>
          <w:tcPr>
            <w:tcW w:w="1240" w:type="dxa"/>
            <w:vMerge w:val="continue"/>
            <w:vAlign w:val="center"/>
          </w:tcPr>
          <w:p w14:paraId="1F65C662">
            <w:pPr>
              <w:pStyle w:val="10"/>
              <w:adjustRightInd w:val="0"/>
              <w:snapToGrid w:val="0"/>
              <w:ind w:firstLine="0" w:firstLineChars="0"/>
              <w:rPr>
                <w:rFonts w:hAnsi="宋体" w:cs="宋体"/>
                <w:sz w:val="18"/>
                <w:szCs w:val="18"/>
              </w:rPr>
            </w:pPr>
          </w:p>
        </w:tc>
        <w:tc>
          <w:tcPr>
            <w:tcW w:w="5058" w:type="dxa"/>
            <w:vAlign w:val="center"/>
          </w:tcPr>
          <w:p w14:paraId="1E7865E9">
            <w:pPr>
              <w:pStyle w:val="10"/>
              <w:adjustRightInd w:val="0"/>
              <w:snapToGrid w:val="0"/>
              <w:ind w:firstLine="0" w:firstLineChars="0"/>
              <w:rPr>
                <w:rFonts w:hAnsi="宋体" w:cs="宋体"/>
                <w:sz w:val="18"/>
                <w:szCs w:val="18"/>
              </w:rPr>
            </w:pPr>
            <w:r>
              <w:rPr>
                <w:rFonts w:hAnsi="宋体" w:cs="宋体"/>
                <w:sz w:val="18"/>
                <w:szCs w:val="18"/>
              </w:rPr>
              <w:t>A股纳入MSCI指数对企业ESG表现的影响</w:t>
            </w:r>
          </w:p>
        </w:tc>
        <w:tc>
          <w:tcPr>
            <w:tcW w:w="1356" w:type="dxa"/>
            <w:vMerge w:val="continue"/>
            <w:vAlign w:val="center"/>
          </w:tcPr>
          <w:p w14:paraId="0BEA59FD">
            <w:pPr>
              <w:pStyle w:val="10"/>
              <w:adjustRightInd w:val="0"/>
              <w:snapToGrid w:val="0"/>
              <w:ind w:firstLine="0" w:firstLineChars="0"/>
              <w:jc w:val="center"/>
              <w:rPr>
                <w:rFonts w:hAnsi="宋体" w:cs="宋体"/>
                <w:sz w:val="18"/>
                <w:szCs w:val="18"/>
              </w:rPr>
            </w:pPr>
          </w:p>
        </w:tc>
      </w:tr>
      <w:tr w14:paraId="3BD9C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639895C">
            <w:pPr>
              <w:pStyle w:val="10"/>
              <w:adjustRightInd w:val="0"/>
              <w:snapToGrid w:val="0"/>
              <w:ind w:firstLine="0" w:firstLineChars="0"/>
              <w:jc w:val="center"/>
              <w:rPr>
                <w:rFonts w:hAnsi="宋体" w:cs="宋体"/>
                <w:sz w:val="18"/>
                <w:szCs w:val="18"/>
              </w:rPr>
            </w:pPr>
          </w:p>
        </w:tc>
        <w:tc>
          <w:tcPr>
            <w:tcW w:w="1240" w:type="dxa"/>
            <w:vMerge w:val="continue"/>
            <w:vAlign w:val="center"/>
          </w:tcPr>
          <w:p w14:paraId="28576C9C">
            <w:pPr>
              <w:pStyle w:val="10"/>
              <w:adjustRightInd w:val="0"/>
              <w:snapToGrid w:val="0"/>
              <w:ind w:firstLine="0" w:firstLineChars="0"/>
              <w:rPr>
                <w:rFonts w:hAnsi="宋体" w:cs="宋体"/>
                <w:sz w:val="18"/>
                <w:szCs w:val="18"/>
              </w:rPr>
            </w:pPr>
          </w:p>
        </w:tc>
        <w:tc>
          <w:tcPr>
            <w:tcW w:w="5058" w:type="dxa"/>
            <w:vAlign w:val="center"/>
          </w:tcPr>
          <w:p w14:paraId="3CEE5C83">
            <w:pPr>
              <w:pStyle w:val="10"/>
              <w:adjustRightInd w:val="0"/>
              <w:snapToGrid w:val="0"/>
              <w:ind w:firstLine="0" w:firstLineChars="0"/>
              <w:rPr>
                <w:rFonts w:hAnsi="宋体" w:cs="宋体"/>
                <w:sz w:val="18"/>
                <w:szCs w:val="18"/>
              </w:rPr>
            </w:pPr>
            <w:r>
              <w:rPr>
                <w:rFonts w:hAnsi="宋体" w:cs="宋体"/>
                <w:sz w:val="18"/>
                <w:szCs w:val="18"/>
                <w:lang w:bidi="ar"/>
              </w:rPr>
              <w:t>稳健性检验</w:t>
            </w:r>
          </w:p>
        </w:tc>
        <w:tc>
          <w:tcPr>
            <w:tcW w:w="1356" w:type="dxa"/>
            <w:vMerge w:val="continue"/>
            <w:vAlign w:val="center"/>
          </w:tcPr>
          <w:p w14:paraId="1F5FDE24">
            <w:pPr>
              <w:pStyle w:val="10"/>
              <w:adjustRightInd w:val="0"/>
              <w:snapToGrid w:val="0"/>
              <w:ind w:firstLine="0" w:firstLineChars="0"/>
              <w:jc w:val="center"/>
              <w:rPr>
                <w:rFonts w:hAnsi="宋体" w:cs="宋体"/>
                <w:sz w:val="18"/>
                <w:szCs w:val="18"/>
              </w:rPr>
            </w:pPr>
          </w:p>
        </w:tc>
      </w:tr>
      <w:tr w14:paraId="6E52E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CF42DCD">
            <w:pPr>
              <w:pStyle w:val="10"/>
              <w:adjustRightInd w:val="0"/>
              <w:snapToGrid w:val="0"/>
              <w:ind w:firstLine="0" w:firstLineChars="0"/>
              <w:jc w:val="center"/>
              <w:rPr>
                <w:rFonts w:hAnsi="宋体" w:cs="宋体"/>
                <w:sz w:val="18"/>
                <w:szCs w:val="18"/>
              </w:rPr>
            </w:pPr>
          </w:p>
        </w:tc>
        <w:tc>
          <w:tcPr>
            <w:tcW w:w="1240" w:type="dxa"/>
            <w:vMerge w:val="continue"/>
            <w:vAlign w:val="center"/>
          </w:tcPr>
          <w:p w14:paraId="2E8DD79B">
            <w:pPr>
              <w:pStyle w:val="10"/>
              <w:adjustRightInd w:val="0"/>
              <w:snapToGrid w:val="0"/>
              <w:ind w:firstLine="0" w:firstLineChars="0"/>
              <w:rPr>
                <w:rFonts w:hAnsi="宋体" w:cs="宋体"/>
                <w:sz w:val="18"/>
                <w:szCs w:val="18"/>
              </w:rPr>
            </w:pPr>
          </w:p>
        </w:tc>
        <w:tc>
          <w:tcPr>
            <w:tcW w:w="5058" w:type="dxa"/>
            <w:vAlign w:val="center"/>
          </w:tcPr>
          <w:p w14:paraId="12952FC0">
            <w:pPr>
              <w:pStyle w:val="10"/>
              <w:adjustRightInd w:val="0"/>
              <w:snapToGrid w:val="0"/>
              <w:ind w:firstLine="0" w:firstLineChars="0"/>
              <w:rPr>
                <w:rFonts w:hAnsi="宋体" w:cs="宋体"/>
                <w:sz w:val="18"/>
                <w:szCs w:val="18"/>
              </w:rPr>
            </w:pPr>
            <w:r>
              <w:rPr>
                <w:rFonts w:hAnsi="宋体" w:cs="宋体"/>
                <w:sz w:val="18"/>
                <w:szCs w:val="18"/>
              </w:rPr>
              <w:t>机制分析</w:t>
            </w:r>
          </w:p>
        </w:tc>
        <w:tc>
          <w:tcPr>
            <w:tcW w:w="1356" w:type="dxa"/>
            <w:vMerge w:val="continue"/>
            <w:vAlign w:val="center"/>
          </w:tcPr>
          <w:p w14:paraId="00559572">
            <w:pPr>
              <w:pStyle w:val="10"/>
              <w:adjustRightInd w:val="0"/>
              <w:snapToGrid w:val="0"/>
              <w:ind w:firstLine="0" w:firstLineChars="0"/>
              <w:jc w:val="center"/>
              <w:rPr>
                <w:rFonts w:hAnsi="宋体" w:cs="宋体"/>
                <w:sz w:val="18"/>
                <w:szCs w:val="18"/>
              </w:rPr>
            </w:pPr>
          </w:p>
        </w:tc>
      </w:tr>
      <w:tr w14:paraId="52B9B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7EA158F6">
            <w:pPr>
              <w:pStyle w:val="10"/>
              <w:adjustRightInd w:val="0"/>
              <w:snapToGrid w:val="0"/>
              <w:ind w:firstLine="0" w:firstLineChars="0"/>
              <w:jc w:val="center"/>
              <w:rPr>
                <w:rFonts w:hAnsi="宋体" w:cs="宋体"/>
                <w:sz w:val="18"/>
                <w:szCs w:val="18"/>
              </w:rPr>
            </w:pPr>
          </w:p>
        </w:tc>
        <w:tc>
          <w:tcPr>
            <w:tcW w:w="1240" w:type="dxa"/>
            <w:vMerge w:val="continue"/>
            <w:vAlign w:val="center"/>
          </w:tcPr>
          <w:p w14:paraId="0EDEE010">
            <w:pPr>
              <w:pStyle w:val="10"/>
              <w:adjustRightInd w:val="0"/>
              <w:snapToGrid w:val="0"/>
              <w:ind w:firstLine="0" w:firstLineChars="0"/>
              <w:rPr>
                <w:rFonts w:hAnsi="宋体" w:cs="宋体"/>
                <w:sz w:val="18"/>
                <w:szCs w:val="18"/>
              </w:rPr>
            </w:pPr>
          </w:p>
        </w:tc>
        <w:tc>
          <w:tcPr>
            <w:tcW w:w="5058" w:type="dxa"/>
            <w:vAlign w:val="center"/>
          </w:tcPr>
          <w:p w14:paraId="174681AF">
            <w:pPr>
              <w:pStyle w:val="10"/>
              <w:adjustRightInd w:val="0"/>
              <w:snapToGrid w:val="0"/>
              <w:ind w:firstLine="0" w:firstLineChars="0"/>
              <w:rPr>
                <w:rFonts w:hAnsi="宋体" w:cs="宋体"/>
                <w:sz w:val="18"/>
                <w:szCs w:val="18"/>
              </w:rPr>
            </w:pPr>
            <w:r>
              <w:rPr>
                <w:rFonts w:hAnsi="宋体" w:cs="宋体"/>
                <w:sz w:val="18"/>
                <w:szCs w:val="18"/>
              </w:rPr>
              <w:t>ESG分项、高管海外经历、污染企业的影响</w:t>
            </w:r>
          </w:p>
        </w:tc>
        <w:tc>
          <w:tcPr>
            <w:tcW w:w="1356" w:type="dxa"/>
            <w:vMerge w:val="continue"/>
            <w:vAlign w:val="center"/>
          </w:tcPr>
          <w:p w14:paraId="06E9CF13">
            <w:pPr>
              <w:pStyle w:val="10"/>
              <w:adjustRightInd w:val="0"/>
              <w:snapToGrid w:val="0"/>
              <w:ind w:firstLine="0" w:firstLineChars="0"/>
              <w:jc w:val="center"/>
              <w:rPr>
                <w:rFonts w:hAnsi="宋体" w:cs="宋体"/>
                <w:sz w:val="18"/>
                <w:szCs w:val="18"/>
              </w:rPr>
            </w:pPr>
          </w:p>
        </w:tc>
      </w:tr>
      <w:tr w14:paraId="5801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3AB080C2">
            <w:pPr>
              <w:pStyle w:val="10"/>
              <w:adjustRightInd w:val="0"/>
              <w:snapToGrid w:val="0"/>
              <w:ind w:firstLine="0" w:firstLineChars="0"/>
              <w:jc w:val="center"/>
              <w:rPr>
                <w:rFonts w:hAnsi="宋体" w:cs="宋体"/>
                <w:sz w:val="18"/>
                <w:szCs w:val="18"/>
              </w:rPr>
            </w:pPr>
          </w:p>
        </w:tc>
        <w:tc>
          <w:tcPr>
            <w:tcW w:w="1240" w:type="dxa"/>
            <w:vMerge w:val="continue"/>
            <w:vAlign w:val="center"/>
          </w:tcPr>
          <w:p w14:paraId="20485371">
            <w:pPr>
              <w:pStyle w:val="10"/>
              <w:adjustRightInd w:val="0"/>
              <w:snapToGrid w:val="0"/>
              <w:ind w:firstLine="0" w:firstLineChars="0"/>
              <w:rPr>
                <w:rFonts w:hAnsi="宋体" w:cs="宋体"/>
                <w:sz w:val="18"/>
                <w:szCs w:val="18"/>
              </w:rPr>
            </w:pPr>
          </w:p>
        </w:tc>
        <w:tc>
          <w:tcPr>
            <w:tcW w:w="5058" w:type="dxa"/>
            <w:vAlign w:val="center"/>
          </w:tcPr>
          <w:p w14:paraId="11B5DC09">
            <w:pPr>
              <w:pStyle w:val="10"/>
              <w:adjustRightInd w:val="0"/>
              <w:snapToGrid w:val="0"/>
              <w:ind w:firstLine="0" w:firstLineChars="0"/>
              <w:rPr>
                <w:rFonts w:hAnsi="宋体" w:cs="宋体"/>
                <w:sz w:val="18"/>
                <w:szCs w:val="18"/>
              </w:rPr>
            </w:pPr>
            <w:r>
              <w:rPr>
                <w:rFonts w:hAnsi="宋体" w:cs="宋体"/>
                <w:sz w:val="18"/>
                <w:szCs w:val="18"/>
              </w:rPr>
              <w:t>市场竞争、地区开放水平、沪深港通的影响</w:t>
            </w:r>
          </w:p>
        </w:tc>
        <w:tc>
          <w:tcPr>
            <w:tcW w:w="1356" w:type="dxa"/>
            <w:vMerge w:val="continue"/>
            <w:vAlign w:val="center"/>
          </w:tcPr>
          <w:p w14:paraId="08C711C6">
            <w:pPr>
              <w:pStyle w:val="10"/>
              <w:adjustRightInd w:val="0"/>
              <w:snapToGrid w:val="0"/>
              <w:ind w:firstLine="0" w:firstLineChars="0"/>
              <w:jc w:val="center"/>
              <w:rPr>
                <w:rFonts w:hAnsi="宋体" w:cs="宋体"/>
                <w:sz w:val="18"/>
                <w:szCs w:val="18"/>
              </w:rPr>
            </w:pPr>
          </w:p>
        </w:tc>
      </w:tr>
      <w:tr w14:paraId="35AA3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1120552">
            <w:pPr>
              <w:pStyle w:val="10"/>
              <w:adjustRightInd w:val="0"/>
              <w:snapToGrid w:val="0"/>
              <w:ind w:firstLine="0" w:firstLineChars="0"/>
              <w:jc w:val="center"/>
              <w:rPr>
                <w:rFonts w:hAnsi="宋体" w:cs="宋体"/>
                <w:sz w:val="18"/>
                <w:szCs w:val="18"/>
              </w:rPr>
            </w:pPr>
          </w:p>
        </w:tc>
        <w:tc>
          <w:tcPr>
            <w:tcW w:w="1240" w:type="dxa"/>
            <w:vMerge w:val="continue"/>
            <w:vAlign w:val="center"/>
          </w:tcPr>
          <w:p w14:paraId="3B62F30E">
            <w:pPr>
              <w:pStyle w:val="10"/>
              <w:adjustRightInd w:val="0"/>
              <w:snapToGrid w:val="0"/>
              <w:ind w:firstLine="0" w:firstLineChars="0"/>
              <w:rPr>
                <w:rFonts w:hAnsi="宋体" w:cs="宋体"/>
                <w:sz w:val="18"/>
                <w:szCs w:val="18"/>
              </w:rPr>
            </w:pPr>
          </w:p>
        </w:tc>
        <w:tc>
          <w:tcPr>
            <w:tcW w:w="5058" w:type="dxa"/>
            <w:vAlign w:val="center"/>
          </w:tcPr>
          <w:p w14:paraId="5E1338E0">
            <w:pPr>
              <w:pStyle w:val="10"/>
              <w:adjustRightInd w:val="0"/>
              <w:snapToGrid w:val="0"/>
              <w:ind w:firstLine="0" w:firstLineChars="0"/>
              <w:rPr>
                <w:rFonts w:hAnsi="宋体" w:cs="宋体"/>
                <w:sz w:val="18"/>
                <w:szCs w:val="18"/>
              </w:rPr>
            </w:pPr>
            <w:r>
              <w:rPr>
                <w:rFonts w:hAnsi="宋体" w:cs="宋体"/>
                <w:sz w:val="18"/>
                <w:szCs w:val="18"/>
              </w:rPr>
              <w:t>“入摩”的经济后果分析</w:t>
            </w:r>
          </w:p>
        </w:tc>
        <w:tc>
          <w:tcPr>
            <w:tcW w:w="1356" w:type="dxa"/>
            <w:vMerge w:val="continue"/>
            <w:vAlign w:val="center"/>
          </w:tcPr>
          <w:p w14:paraId="2279CC95">
            <w:pPr>
              <w:pStyle w:val="10"/>
              <w:adjustRightInd w:val="0"/>
              <w:snapToGrid w:val="0"/>
              <w:ind w:firstLine="0" w:firstLineChars="0"/>
              <w:jc w:val="center"/>
              <w:rPr>
                <w:rFonts w:hAnsi="宋体" w:cs="宋体"/>
                <w:sz w:val="18"/>
                <w:szCs w:val="18"/>
              </w:rPr>
            </w:pPr>
          </w:p>
        </w:tc>
      </w:tr>
      <w:tr w14:paraId="51089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DF92264">
            <w:pPr>
              <w:pStyle w:val="10"/>
              <w:adjustRightInd w:val="0"/>
              <w:snapToGrid w:val="0"/>
              <w:ind w:firstLine="0" w:firstLineChars="0"/>
              <w:jc w:val="center"/>
              <w:rPr>
                <w:rFonts w:hAnsi="宋体" w:cs="宋体"/>
                <w:sz w:val="18"/>
                <w:szCs w:val="18"/>
              </w:rPr>
            </w:pPr>
          </w:p>
        </w:tc>
        <w:tc>
          <w:tcPr>
            <w:tcW w:w="1240" w:type="dxa"/>
            <w:vMerge w:val="continue"/>
            <w:vAlign w:val="center"/>
          </w:tcPr>
          <w:p w14:paraId="39A92D05">
            <w:pPr>
              <w:pStyle w:val="10"/>
              <w:adjustRightInd w:val="0"/>
              <w:snapToGrid w:val="0"/>
              <w:ind w:firstLine="0" w:firstLineChars="0"/>
              <w:rPr>
                <w:rFonts w:hAnsi="宋体" w:cs="宋体"/>
                <w:sz w:val="18"/>
                <w:szCs w:val="18"/>
              </w:rPr>
            </w:pPr>
          </w:p>
        </w:tc>
        <w:tc>
          <w:tcPr>
            <w:tcW w:w="5058" w:type="dxa"/>
            <w:vAlign w:val="center"/>
          </w:tcPr>
          <w:p w14:paraId="2A30F8BA">
            <w:pPr>
              <w:pStyle w:val="10"/>
              <w:adjustRightInd w:val="0"/>
              <w:snapToGrid w:val="0"/>
              <w:ind w:firstLine="0" w:firstLineChars="0"/>
              <w:rPr>
                <w:rFonts w:hAnsi="宋体" w:cs="宋体"/>
                <w:sz w:val="18"/>
                <w:szCs w:val="18"/>
              </w:rPr>
            </w:pPr>
            <w:r>
              <w:rPr>
                <w:rFonts w:hAnsi="宋体" w:cs="宋体"/>
                <w:sz w:val="18"/>
                <w:szCs w:val="18"/>
              </w:rPr>
              <w:t>平衡趋势检验表格</w:t>
            </w:r>
          </w:p>
        </w:tc>
        <w:tc>
          <w:tcPr>
            <w:tcW w:w="1356" w:type="dxa"/>
            <w:vMerge w:val="continue"/>
            <w:vAlign w:val="center"/>
          </w:tcPr>
          <w:p w14:paraId="33C2BE3B">
            <w:pPr>
              <w:pStyle w:val="10"/>
              <w:adjustRightInd w:val="0"/>
              <w:snapToGrid w:val="0"/>
              <w:ind w:firstLine="0" w:firstLineChars="0"/>
              <w:jc w:val="center"/>
              <w:rPr>
                <w:rFonts w:hAnsi="宋体" w:cs="宋体"/>
                <w:sz w:val="18"/>
                <w:szCs w:val="18"/>
              </w:rPr>
            </w:pPr>
          </w:p>
        </w:tc>
      </w:tr>
      <w:tr w14:paraId="66CBA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252994E">
            <w:pPr>
              <w:pStyle w:val="10"/>
              <w:adjustRightInd w:val="0"/>
              <w:snapToGrid w:val="0"/>
              <w:ind w:firstLine="0" w:firstLineChars="0"/>
              <w:jc w:val="center"/>
              <w:rPr>
                <w:rFonts w:hAnsi="宋体" w:cs="宋体"/>
                <w:sz w:val="18"/>
                <w:szCs w:val="18"/>
              </w:rPr>
            </w:pPr>
          </w:p>
        </w:tc>
        <w:tc>
          <w:tcPr>
            <w:tcW w:w="1240" w:type="dxa"/>
            <w:vMerge w:val="continue"/>
            <w:vAlign w:val="center"/>
          </w:tcPr>
          <w:p w14:paraId="45D026BE">
            <w:pPr>
              <w:pStyle w:val="10"/>
              <w:adjustRightInd w:val="0"/>
              <w:snapToGrid w:val="0"/>
              <w:ind w:firstLine="0" w:firstLineChars="0"/>
              <w:rPr>
                <w:rFonts w:hAnsi="宋体" w:cs="宋体"/>
                <w:sz w:val="18"/>
                <w:szCs w:val="18"/>
              </w:rPr>
            </w:pPr>
          </w:p>
        </w:tc>
        <w:tc>
          <w:tcPr>
            <w:tcW w:w="5058" w:type="dxa"/>
            <w:vAlign w:val="center"/>
          </w:tcPr>
          <w:p w14:paraId="5D6B25F5">
            <w:pPr>
              <w:pStyle w:val="10"/>
              <w:adjustRightInd w:val="0"/>
              <w:snapToGrid w:val="0"/>
              <w:ind w:firstLine="0" w:firstLineChars="0"/>
              <w:rPr>
                <w:rFonts w:hAnsi="宋体" w:cs="宋体"/>
                <w:sz w:val="18"/>
                <w:szCs w:val="18"/>
              </w:rPr>
            </w:pPr>
            <w:r>
              <w:rPr>
                <w:rFonts w:hAnsi="宋体" w:cs="宋体"/>
                <w:sz w:val="18"/>
                <w:szCs w:val="18"/>
              </w:rPr>
              <w:t>平行趋势检验</w:t>
            </w:r>
          </w:p>
        </w:tc>
        <w:tc>
          <w:tcPr>
            <w:tcW w:w="1356" w:type="dxa"/>
            <w:vMerge w:val="continue"/>
            <w:vAlign w:val="center"/>
          </w:tcPr>
          <w:p w14:paraId="729C0729">
            <w:pPr>
              <w:pStyle w:val="10"/>
              <w:adjustRightInd w:val="0"/>
              <w:snapToGrid w:val="0"/>
              <w:ind w:firstLine="0" w:firstLineChars="0"/>
              <w:jc w:val="center"/>
              <w:rPr>
                <w:rFonts w:hAnsi="宋体" w:cs="宋体"/>
                <w:sz w:val="18"/>
                <w:szCs w:val="18"/>
              </w:rPr>
            </w:pPr>
          </w:p>
        </w:tc>
      </w:tr>
      <w:tr w14:paraId="5D28D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D5DD5C8">
            <w:pPr>
              <w:pStyle w:val="10"/>
              <w:adjustRightInd w:val="0"/>
              <w:snapToGrid w:val="0"/>
              <w:ind w:firstLine="0" w:firstLineChars="0"/>
              <w:jc w:val="center"/>
              <w:rPr>
                <w:rFonts w:hAnsi="宋体" w:cs="宋体"/>
                <w:sz w:val="18"/>
                <w:szCs w:val="18"/>
              </w:rPr>
            </w:pPr>
          </w:p>
        </w:tc>
        <w:tc>
          <w:tcPr>
            <w:tcW w:w="1240" w:type="dxa"/>
            <w:vMerge w:val="continue"/>
            <w:vAlign w:val="center"/>
          </w:tcPr>
          <w:p w14:paraId="03DF2317">
            <w:pPr>
              <w:pStyle w:val="10"/>
              <w:adjustRightInd w:val="0"/>
              <w:snapToGrid w:val="0"/>
              <w:ind w:firstLine="0" w:firstLineChars="0"/>
              <w:rPr>
                <w:rFonts w:hAnsi="宋体" w:cs="宋体"/>
                <w:sz w:val="18"/>
                <w:szCs w:val="18"/>
              </w:rPr>
            </w:pPr>
          </w:p>
        </w:tc>
        <w:tc>
          <w:tcPr>
            <w:tcW w:w="5058" w:type="dxa"/>
            <w:vAlign w:val="center"/>
          </w:tcPr>
          <w:p w14:paraId="2251DD22">
            <w:pPr>
              <w:pStyle w:val="10"/>
              <w:adjustRightInd w:val="0"/>
              <w:snapToGrid w:val="0"/>
              <w:ind w:firstLine="0" w:firstLineChars="0"/>
              <w:rPr>
                <w:rFonts w:hAnsi="宋体" w:cs="宋体"/>
                <w:sz w:val="18"/>
                <w:szCs w:val="18"/>
              </w:rPr>
            </w:pPr>
            <w:r>
              <w:rPr>
                <w:rFonts w:hAnsi="宋体" w:cs="宋体"/>
                <w:sz w:val="18"/>
                <w:szCs w:val="18"/>
              </w:rPr>
              <w:t>稳健性检验表格</w:t>
            </w:r>
          </w:p>
        </w:tc>
        <w:tc>
          <w:tcPr>
            <w:tcW w:w="1356" w:type="dxa"/>
            <w:vMerge w:val="continue"/>
            <w:vAlign w:val="center"/>
          </w:tcPr>
          <w:p w14:paraId="399D2889">
            <w:pPr>
              <w:pStyle w:val="10"/>
              <w:adjustRightInd w:val="0"/>
              <w:snapToGrid w:val="0"/>
              <w:ind w:firstLine="0" w:firstLineChars="0"/>
              <w:jc w:val="center"/>
              <w:rPr>
                <w:rFonts w:hAnsi="宋体" w:cs="宋体"/>
                <w:sz w:val="18"/>
                <w:szCs w:val="18"/>
              </w:rPr>
            </w:pPr>
          </w:p>
        </w:tc>
      </w:tr>
      <w:tr w14:paraId="24FE3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030D3493">
            <w:pPr>
              <w:pStyle w:val="10"/>
              <w:adjustRightInd w:val="0"/>
              <w:snapToGrid w:val="0"/>
              <w:ind w:firstLine="0" w:firstLineChars="0"/>
              <w:jc w:val="center"/>
              <w:rPr>
                <w:rFonts w:hAnsi="宋体" w:cs="宋体"/>
                <w:sz w:val="18"/>
                <w:szCs w:val="18"/>
              </w:rPr>
            </w:pPr>
          </w:p>
        </w:tc>
        <w:tc>
          <w:tcPr>
            <w:tcW w:w="1240" w:type="dxa"/>
            <w:vMerge w:val="continue"/>
            <w:vAlign w:val="center"/>
          </w:tcPr>
          <w:p w14:paraId="2CA6A912">
            <w:pPr>
              <w:pStyle w:val="10"/>
              <w:adjustRightInd w:val="0"/>
              <w:snapToGrid w:val="0"/>
              <w:ind w:firstLine="0" w:firstLineChars="0"/>
              <w:rPr>
                <w:rFonts w:hAnsi="宋体" w:cs="宋体"/>
                <w:sz w:val="18"/>
                <w:szCs w:val="18"/>
              </w:rPr>
            </w:pPr>
          </w:p>
        </w:tc>
        <w:tc>
          <w:tcPr>
            <w:tcW w:w="5058" w:type="dxa"/>
            <w:vAlign w:val="center"/>
          </w:tcPr>
          <w:p w14:paraId="10B0DDD4">
            <w:pPr>
              <w:pStyle w:val="10"/>
              <w:adjustRightInd w:val="0"/>
              <w:snapToGrid w:val="0"/>
              <w:ind w:firstLine="0" w:firstLineChars="0"/>
              <w:rPr>
                <w:rFonts w:hAnsi="宋体" w:cs="宋体"/>
                <w:sz w:val="18"/>
                <w:szCs w:val="18"/>
              </w:rPr>
            </w:pPr>
            <w:r>
              <w:rPr>
                <w:rFonts w:hAnsi="宋体" w:cs="宋体"/>
                <w:sz w:val="18"/>
                <w:szCs w:val="18"/>
              </w:rPr>
              <w:t>排除其他资本市场开放事件</w:t>
            </w:r>
          </w:p>
        </w:tc>
        <w:tc>
          <w:tcPr>
            <w:tcW w:w="1356" w:type="dxa"/>
            <w:vMerge w:val="continue"/>
            <w:vAlign w:val="center"/>
          </w:tcPr>
          <w:p w14:paraId="6C3AC0AA">
            <w:pPr>
              <w:pStyle w:val="10"/>
              <w:adjustRightInd w:val="0"/>
              <w:snapToGrid w:val="0"/>
              <w:ind w:firstLine="0" w:firstLineChars="0"/>
              <w:jc w:val="center"/>
              <w:rPr>
                <w:rFonts w:hAnsi="宋体" w:cs="宋体"/>
                <w:sz w:val="18"/>
                <w:szCs w:val="18"/>
              </w:rPr>
            </w:pPr>
          </w:p>
        </w:tc>
      </w:tr>
      <w:tr w14:paraId="25F8E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46CBF215">
            <w:pPr>
              <w:pStyle w:val="10"/>
              <w:adjustRightInd w:val="0"/>
              <w:snapToGrid w:val="0"/>
              <w:ind w:firstLine="0" w:firstLineChars="0"/>
              <w:jc w:val="center"/>
              <w:rPr>
                <w:rFonts w:hAnsi="宋体" w:cs="宋体"/>
                <w:sz w:val="18"/>
                <w:szCs w:val="18"/>
              </w:rPr>
            </w:pPr>
          </w:p>
        </w:tc>
        <w:tc>
          <w:tcPr>
            <w:tcW w:w="1240" w:type="dxa"/>
            <w:vMerge w:val="continue"/>
            <w:vAlign w:val="center"/>
          </w:tcPr>
          <w:p w14:paraId="1912E0B4">
            <w:pPr>
              <w:pStyle w:val="10"/>
              <w:adjustRightInd w:val="0"/>
              <w:snapToGrid w:val="0"/>
              <w:ind w:firstLine="0" w:firstLineChars="0"/>
              <w:rPr>
                <w:rFonts w:hAnsi="宋体" w:cs="宋体"/>
                <w:sz w:val="18"/>
                <w:szCs w:val="18"/>
              </w:rPr>
            </w:pPr>
          </w:p>
        </w:tc>
        <w:tc>
          <w:tcPr>
            <w:tcW w:w="5058" w:type="dxa"/>
            <w:vAlign w:val="center"/>
          </w:tcPr>
          <w:p w14:paraId="04432167">
            <w:pPr>
              <w:pStyle w:val="10"/>
              <w:adjustRightInd w:val="0"/>
              <w:snapToGrid w:val="0"/>
              <w:ind w:firstLine="0" w:firstLineChars="0"/>
              <w:rPr>
                <w:rFonts w:hAnsi="宋体" w:cs="宋体"/>
                <w:sz w:val="18"/>
                <w:szCs w:val="18"/>
              </w:rPr>
            </w:pPr>
            <w:r>
              <w:rPr>
                <w:rFonts w:hAnsi="宋体" w:cs="宋体"/>
                <w:sz w:val="18"/>
                <w:szCs w:val="18"/>
              </w:rPr>
              <w:t>随机处理企业后的系数分布</w:t>
            </w:r>
          </w:p>
        </w:tc>
        <w:tc>
          <w:tcPr>
            <w:tcW w:w="1356" w:type="dxa"/>
            <w:vMerge w:val="continue"/>
            <w:vAlign w:val="center"/>
          </w:tcPr>
          <w:p w14:paraId="1E650EE3">
            <w:pPr>
              <w:pStyle w:val="10"/>
              <w:adjustRightInd w:val="0"/>
              <w:snapToGrid w:val="0"/>
              <w:ind w:firstLine="0" w:firstLineChars="0"/>
              <w:jc w:val="center"/>
              <w:rPr>
                <w:rFonts w:hAnsi="宋体" w:cs="宋体"/>
                <w:sz w:val="18"/>
                <w:szCs w:val="18"/>
              </w:rPr>
            </w:pPr>
          </w:p>
        </w:tc>
      </w:tr>
      <w:tr w14:paraId="382FD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5831C37E">
            <w:pPr>
              <w:pStyle w:val="10"/>
              <w:adjustRightInd w:val="0"/>
              <w:snapToGrid w:val="0"/>
              <w:ind w:firstLine="0" w:firstLineChars="0"/>
              <w:jc w:val="center"/>
              <w:rPr>
                <w:rFonts w:hAnsi="宋体" w:cs="宋体"/>
                <w:sz w:val="18"/>
                <w:szCs w:val="18"/>
              </w:rPr>
            </w:pPr>
          </w:p>
        </w:tc>
        <w:tc>
          <w:tcPr>
            <w:tcW w:w="1240" w:type="dxa"/>
            <w:vMerge w:val="continue"/>
            <w:vAlign w:val="center"/>
          </w:tcPr>
          <w:p w14:paraId="0825A50C">
            <w:pPr>
              <w:pStyle w:val="10"/>
              <w:adjustRightInd w:val="0"/>
              <w:snapToGrid w:val="0"/>
              <w:ind w:firstLine="0" w:firstLineChars="0"/>
              <w:rPr>
                <w:rFonts w:hAnsi="宋体" w:cs="宋体"/>
                <w:sz w:val="18"/>
                <w:szCs w:val="18"/>
              </w:rPr>
            </w:pPr>
          </w:p>
        </w:tc>
        <w:tc>
          <w:tcPr>
            <w:tcW w:w="5058" w:type="dxa"/>
            <w:vAlign w:val="center"/>
          </w:tcPr>
          <w:p w14:paraId="273982E5">
            <w:pPr>
              <w:pStyle w:val="10"/>
              <w:adjustRightInd w:val="0"/>
              <w:snapToGrid w:val="0"/>
              <w:ind w:firstLine="0" w:firstLineChars="0"/>
              <w:rPr>
                <w:rFonts w:hAnsi="宋体" w:cs="宋体"/>
                <w:sz w:val="18"/>
                <w:szCs w:val="18"/>
              </w:rPr>
            </w:pPr>
            <w:r>
              <w:rPr>
                <w:rFonts w:hAnsi="宋体" w:cs="宋体"/>
                <w:sz w:val="18"/>
                <w:szCs w:val="18"/>
              </w:rPr>
              <w:t>随机处理时间后的系数分布</w:t>
            </w:r>
          </w:p>
        </w:tc>
        <w:tc>
          <w:tcPr>
            <w:tcW w:w="1356" w:type="dxa"/>
            <w:vMerge w:val="continue"/>
            <w:vAlign w:val="center"/>
          </w:tcPr>
          <w:p w14:paraId="645F543F">
            <w:pPr>
              <w:pStyle w:val="10"/>
              <w:adjustRightInd w:val="0"/>
              <w:snapToGrid w:val="0"/>
              <w:ind w:firstLine="0" w:firstLineChars="0"/>
              <w:jc w:val="center"/>
              <w:rPr>
                <w:rFonts w:hAnsi="宋体" w:cs="宋体"/>
                <w:sz w:val="18"/>
                <w:szCs w:val="18"/>
              </w:rPr>
            </w:pPr>
          </w:p>
        </w:tc>
      </w:tr>
      <w:tr w14:paraId="263A4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1DAD20A6">
            <w:pPr>
              <w:pStyle w:val="10"/>
              <w:adjustRightInd w:val="0"/>
              <w:snapToGrid w:val="0"/>
              <w:ind w:firstLine="0" w:firstLineChars="0"/>
              <w:jc w:val="center"/>
              <w:rPr>
                <w:rFonts w:hAnsi="宋体" w:cs="宋体"/>
                <w:sz w:val="18"/>
                <w:szCs w:val="18"/>
              </w:rPr>
            </w:pPr>
          </w:p>
        </w:tc>
        <w:tc>
          <w:tcPr>
            <w:tcW w:w="1240" w:type="dxa"/>
            <w:vMerge w:val="restart"/>
            <w:vAlign w:val="center"/>
          </w:tcPr>
          <w:p w14:paraId="15CA4757">
            <w:pPr>
              <w:pStyle w:val="10"/>
              <w:adjustRightInd w:val="0"/>
              <w:snapToGrid w:val="0"/>
              <w:ind w:firstLine="0" w:firstLineChars="0"/>
              <w:rPr>
                <w:rFonts w:hAnsi="宋体" w:cs="宋体"/>
                <w:sz w:val="18"/>
                <w:szCs w:val="18"/>
              </w:rPr>
            </w:pPr>
            <w:r>
              <w:rPr>
                <w:rFonts w:hAnsi="宋体" w:cs="宋体"/>
                <w:sz w:val="18"/>
                <w:szCs w:val="18"/>
              </w:rPr>
              <w:t>实验总结</w:t>
            </w:r>
          </w:p>
        </w:tc>
        <w:tc>
          <w:tcPr>
            <w:tcW w:w="5058" w:type="dxa"/>
            <w:vAlign w:val="center"/>
          </w:tcPr>
          <w:p w14:paraId="0C1F8F94">
            <w:pPr>
              <w:pStyle w:val="10"/>
              <w:adjustRightInd w:val="0"/>
              <w:snapToGrid w:val="0"/>
              <w:ind w:firstLine="0" w:firstLineChars="0"/>
              <w:rPr>
                <w:rFonts w:hAnsi="宋体" w:cs="宋体"/>
                <w:spacing w:val="10"/>
                <w:sz w:val="18"/>
                <w:szCs w:val="18"/>
              </w:rPr>
            </w:pPr>
            <w:r>
              <w:rPr>
                <w:rFonts w:hAnsi="宋体" w:cs="宋体"/>
                <w:spacing w:val="10"/>
                <w:sz w:val="18"/>
                <w:szCs w:val="18"/>
              </w:rPr>
              <w:t>复现完整案例及模型方法</w:t>
            </w:r>
          </w:p>
        </w:tc>
        <w:tc>
          <w:tcPr>
            <w:tcW w:w="1356" w:type="dxa"/>
            <w:vMerge w:val="continue"/>
            <w:vAlign w:val="center"/>
          </w:tcPr>
          <w:p w14:paraId="31D3D25F">
            <w:pPr>
              <w:pStyle w:val="10"/>
              <w:adjustRightInd w:val="0"/>
              <w:snapToGrid w:val="0"/>
              <w:ind w:firstLine="0" w:firstLineChars="0"/>
              <w:jc w:val="center"/>
              <w:rPr>
                <w:rFonts w:hAnsi="宋体" w:cs="宋体"/>
                <w:sz w:val="18"/>
                <w:szCs w:val="18"/>
              </w:rPr>
            </w:pPr>
          </w:p>
        </w:tc>
      </w:tr>
      <w:tr w14:paraId="4D245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5" w:type="dxa"/>
            <w:vMerge w:val="continue"/>
            <w:vAlign w:val="center"/>
          </w:tcPr>
          <w:p w14:paraId="2439A04A">
            <w:pPr>
              <w:pStyle w:val="10"/>
              <w:adjustRightInd w:val="0"/>
              <w:snapToGrid w:val="0"/>
              <w:ind w:firstLine="0" w:firstLineChars="0"/>
              <w:jc w:val="center"/>
              <w:rPr>
                <w:rFonts w:hAnsi="宋体" w:cs="宋体"/>
                <w:sz w:val="18"/>
                <w:szCs w:val="18"/>
              </w:rPr>
            </w:pPr>
          </w:p>
        </w:tc>
        <w:tc>
          <w:tcPr>
            <w:tcW w:w="1240" w:type="dxa"/>
            <w:vMerge w:val="continue"/>
            <w:vAlign w:val="center"/>
          </w:tcPr>
          <w:p w14:paraId="51C6FBBE">
            <w:pPr>
              <w:pStyle w:val="10"/>
              <w:adjustRightInd w:val="0"/>
              <w:snapToGrid w:val="0"/>
              <w:ind w:firstLine="0" w:firstLineChars="0"/>
              <w:rPr>
                <w:rFonts w:hAnsi="宋体" w:cs="宋体"/>
                <w:sz w:val="18"/>
                <w:szCs w:val="18"/>
              </w:rPr>
            </w:pPr>
          </w:p>
        </w:tc>
        <w:tc>
          <w:tcPr>
            <w:tcW w:w="5058" w:type="dxa"/>
            <w:vAlign w:val="center"/>
          </w:tcPr>
          <w:p w14:paraId="59B47F17">
            <w:pPr>
              <w:pStyle w:val="10"/>
              <w:adjustRightInd w:val="0"/>
              <w:snapToGrid w:val="0"/>
              <w:ind w:firstLine="0" w:firstLineChars="0"/>
              <w:rPr>
                <w:rFonts w:hAnsi="宋体" w:cs="宋体"/>
                <w:spacing w:val="10"/>
                <w:sz w:val="18"/>
                <w:szCs w:val="18"/>
              </w:rPr>
            </w:pPr>
            <w:r>
              <w:rPr>
                <w:rFonts w:hAnsi="宋体" w:cs="宋体"/>
                <w:spacing w:val="10"/>
                <w:sz w:val="18"/>
                <w:szCs w:val="18"/>
              </w:rPr>
              <w:t>总结</w:t>
            </w:r>
            <w:r>
              <w:rPr>
                <w:rFonts w:hAnsi="宋体" w:cs="宋体"/>
                <w:sz w:val="18"/>
                <w:szCs w:val="18"/>
                <w:lang w:bidi="ar"/>
              </w:rPr>
              <w:t>多时点双重差分模型</w:t>
            </w:r>
            <w:r>
              <w:rPr>
                <w:rFonts w:hAnsi="宋体" w:cs="宋体"/>
                <w:spacing w:val="10"/>
                <w:sz w:val="18"/>
                <w:szCs w:val="18"/>
              </w:rPr>
              <w:t>建模技巧与论文写作技巧</w:t>
            </w:r>
          </w:p>
        </w:tc>
        <w:tc>
          <w:tcPr>
            <w:tcW w:w="1356" w:type="dxa"/>
            <w:vMerge w:val="continue"/>
            <w:vAlign w:val="center"/>
          </w:tcPr>
          <w:p w14:paraId="7C7C71BD">
            <w:pPr>
              <w:pStyle w:val="10"/>
              <w:adjustRightInd w:val="0"/>
              <w:snapToGrid w:val="0"/>
              <w:ind w:firstLine="0" w:firstLineChars="0"/>
              <w:jc w:val="center"/>
              <w:rPr>
                <w:rFonts w:hAnsi="宋体" w:cs="宋体"/>
                <w:sz w:val="18"/>
                <w:szCs w:val="18"/>
              </w:rPr>
            </w:pPr>
          </w:p>
        </w:tc>
      </w:tr>
    </w:tbl>
    <w:p w14:paraId="0747D56B">
      <w:pPr>
        <w:pStyle w:val="6"/>
        <w:tabs>
          <w:tab w:val="left" w:pos="1320"/>
        </w:tabs>
        <w:adjustRightInd w:val="0"/>
        <w:snapToGrid w:val="0"/>
        <w:rPr>
          <w:rFonts w:hint="eastAsia" w:ascii="宋体" w:hAnsi="宋体" w:cs="宋体"/>
          <w:sz w:val="21"/>
          <w:szCs w:val="21"/>
        </w:rPr>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UI">
    <w:panose1 w:val="020B0502040204020203"/>
    <w:charset w:val="00"/>
    <w:family w:val="auto"/>
    <w:pitch w:val="default"/>
    <w:sig w:usb0="E4002EFF" w:usb1="C000E47F" w:usb2="00000009" w:usb3="00000000" w:csb0="200001FF" w:csb1="00000000"/>
  </w:font>
  <w:font w:name="清雅黑体">
    <w:panose1 w:val="00000500000000000000"/>
    <w:charset w:val="86"/>
    <w:family w:val="auto"/>
    <w:pitch w:val="default"/>
    <w:sig w:usb0="8000002F" w:usb1="084164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EA8CE1">
    <w:pPr>
      <w:pStyle w:val="12"/>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0BC3A">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0D64C">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79895">
    <w:pPr>
      <w:pStyle w:val="12"/>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0CAAF9">
    <w:pPr>
      <w:pStyle w:val="12"/>
      <w:tabs>
        <w:tab w:val="clear" w:pos="4153"/>
      </w:tabs>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EDCAFBF">
                          <w:pPr>
                            <w:pStyle w:val="12"/>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0288;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EDCAFBF">
                    <w:pPr>
                      <w:pStyle w:val="12"/>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6F08A">
    <w:pPr>
      <w:pStyle w:val="13"/>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1764D">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8F6DE">
    <w:pPr>
      <w:pStyle w:val="13"/>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5C4E8F">
    <w:pPr>
      <w:pStyle w:val="13"/>
      <w:ind w:firstLine="360"/>
    </w:pPr>
    <w:bookmarkStart w:id="38"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38"/>
    <w:r>
      <w:t> </w:t>
    </w:r>
    <w:r>
      <w:rPr>
        <w:rFonts w:hint="eastAsia"/>
      </w:rPr>
      <w:t xml:space="preserve">    </w:t>
    </w:r>
    <w:r>
      <w:t> www.jiecl.com  微信公众号：</w:t>
    </w:r>
    <w:r>
      <w:rPr>
        <w:rFonts w:hint="eastAsia"/>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93F63D"/>
    <w:multiLevelType w:val="singleLevel"/>
    <w:tmpl w:val="9593F63D"/>
    <w:lvl w:ilvl="0" w:tentative="0">
      <w:start w:val="1"/>
      <w:numFmt w:val="chineseCounting"/>
      <w:suff w:val="nothing"/>
      <w:lvlText w:val="（%1）"/>
      <w:lvlJc w:val="left"/>
      <w:pPr>
        <w:ind w:left="0" w:firstLine="420"/>
      </w:pPr>
      <w:rPr>
        <w:rFonts w:hint="eastAsia"/>
      </w:rPr>
    </w:lvl>
  </w:abstractNum>
  <w:abstractNum w:abstractNumId="1">
    <w:nsid w:val="BAA4C407"/>
    <w:multiLevelType w:val="singleLevel"/>
    <w:tmpl w:val="BAA4C407"/>
    <w:lvl w:ilvl="0" w:tentative="0">
      <w:start w:val="1"/>
      <w:numFmt w:val="decimalEnclosedCircleChinese"/>
      <w:suff w:val="nothing"/>
      <w:lvlText w:val="%1　"/>
      <w:lvlJc w:val="left"/>
      <w:pPr>
        <w:ind w:left="0" w:firstLine="400"/>
      </w:pPr>
      <w:rPr>
        <w:rFonts w:hint="eastAsia"/>
      </w:rPr>
    </w:lvl>
  </w:abstractNum>
  <w:abstractNum w:abstractNumId="2">
    <w:nsid w:val="C9C2033F"/>
    <w:multiLevelType w:val="singleLevel"/>
    <w:tmpl w:val="C9C2033F"/>
    <w:lvl w:ilvl="0" w:tentative="0">
      <w:start w:val="1"/>
      <w:numFmt w:val="decimal"/>
      <w:suff w:val="nothing"/>
      <w:lvlText w:val="%1．"/>
      <w:lvlJc w:val="left"/>
      <w:pPr>
        <w:ind w:left="0" w:firstLine="400"/>
      </w:pPr>
      <w:rPr>
        <w:rFonts w:hint="default"/>
      </w:rPr>
    </w:lvl>
  </w:abstractNum>
  <w:abstractNum w:abstractNumId="3">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4">
    <w:nsid w:val="1CCB0AE8"/>
    <w:multiLevelType w:val="singleLevel"/>
    <w:tmpl w:val="1CCB0AE8"/>
    <w:lvl w:ilvl="0" w:tentative="0">
      <w:start w:val="1"/>
      <w:numFmt w:val="decimalEnclosedCircleChinese"/>
      <w:suff w:val="nothing"/>
      <w:lvlText w:val="%1　"/>
      <w:lvlJc w:val="left"/>
      <w:pPr>
        <w:ind w:left="0" w:firstLine="400"/>
      </w:pPr>
      <w:rPr>
        <w:rFonts w:hint="eastAsia"/>
      </w:rPr>
    </w:lvl>
  </w:abstractNum>
  <w:abstractNum w:abstractNumId="5">
    <w:nsid w:val="4EEF9133"/>
    <w:multiLevelType w:val="singleLevel"/>
    <w:tmpl w:val="4EEF9133"/>
    <w:lvl w:ilvl="0" w:tentative="0">
      <w:start w:val="1"/>
      <w:numFmt w:val="decimalEnclosedCircleChinese"/>
      <w:suff w:val="nothing"/>
      <w:lvlText w:val="%1　"/>
      <w:lvlJc w:val="left"/>
      <w:pPr>
        <w:ind w:left="0" w:firstLine="400"/>
      </w:pPr>
      <w:rPr>
        <w:rFonts w:hint="eastAsia"/>
      </w:rPr>
    </w:lvl>
  </w:abstractNum>
  <w:abstractNum w:abstractNumId="6">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num w:numId="1">
    <w:abstractNumId w:val="6"/>
  </w:num>
  <w:num w:numId="2">
    <w:abstractNumId w:val="2"/>
  </w:num>
  <w:num w:numId="3">
    <w:abstractNumId w:val="0"/>
  </w:num>
  <w:num w:numId="4">
    <w:abstractNumId w:val="3"/>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4"/>
  </w:num>
  <w:num w:numId="9">
    <w:abstractNumId w:val="1"/>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4"/>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24577"/>
    <w:rsid w:val="00647912"/>
    <w:rsid w:val="00653CFF"/>
    <w:rsid w:val="006552E1"/>
    <w:rsid w:val="00663CD0"/>
    <w:rsid w:val="00670E8D"/>
    <w:rsid w:val="00677829"/>
    <w:rsid w:val="006E5A22"/>
    <w:rsid w:val="00716820"/>
    <w:rsid w:val="007244C9"/>
    <w:rsid w:val="0075084A"/>
    <w:rsid w:val="007B6859"/>
    <w:rsid w:val="007C12FF"/>
    <w:rsid w:val="0084050F"/>
    <w:rsid w:val="0085042C"/>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07BEE"/>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194574B"/>
    <w:rsid w:val="02A227A1"/>
    <w:rsid w:val="02DC52DA"/>
    <w:rsid w:val="03D531E6"/>
    <w:rsid w:val="05233D3C"/>
    <w:rsid w:val="06577B4F"/>
    <w:rsid w:val="07105B30"/>
    <w:rsid w:val="0826591D"/>
    <w:rsid w:val="092B3457"/>
    <w:rsid w:val="09787619"/>
    <w:rsid w:val="0A2E4B1D"/>
    <w:rsid w:val="0CC314BE"/>
    <w:rsid w:val="139F20ED"/>
    <w:rsid w:val="1A4932CF"/>
    <w:rsid w:val="1B223432"/>
    <w:rsid w:val="202C7C81"/>
    <w:rsid w:val="20416212"/>
    <w:rsid w:val="22155959"/>
    <w:rsid w:val="2349207F"/>
    <w:rsid w:val="28401338"/>
    <w:rsid w:val="295B798F"/>
    <w:rsid w:val="2E413632"/>
    <w:rsid w:val="2E860788"/>
    <w:rsid w:val="2E8A19A4"/>
    <w:rsid w:val="303F76FD"/>
    <w:rsid w:val="32B37F2E"/>
    <w:rsid w:val="32EE0AA4"/>
    <w:rsid w:val="34B43A40"/>
    <w:rsid w:val="34DA7FB5"/>
    <w:rsid w:val="35202EA6"/>
    <w:rsid w:val="39ED1F78"/>
    <w:rsid w:val="3BE57B92"/>
    <w:rsid w:val="3C6C292A"/>
    <w:rsid w:val="3D3C2AA2"/>
    <w:rsid w:val="3F9176A1"/>
    <w:rsid w:val="403B3303"/>
    <w:rsid w:val="40CB04F0"/>
    <w:rsid w:val="42817701"/>
    <w:rsid w:val="42B71775"/>
    <w:rsid w:val="442273B7"/>
    <w:rsid w:val="447C0BFD"/>
    <w:rsid w:val="49F275D1"/>
    <w:rsid w:val="4AD656E7"/>
    <w:rsid w:val="4DFC7B4E"/>
    <w:rsid w:val="503C4367"/>
    <w:rsid w:val="522C2181"/>
    <w:rsid w:val="5258429B"/>
    <w:rsid w:val="536C1D08"/>
    <w:rsid w:val="539B02BB"/>
    <w:rsid w:val="56813AC3"/>
    <w:rsid w:val="56E10A63"/>
    <w:rsid w:val="56E35328"/>
    <w:rsid w:val="572114D8"/>
    <w:rsid w:val="58901DFC"/>
    <w:rsid w:val="594A2CD4"/>
    <w:rsid w:val="5A6133C0"/>
    <w:rsid w:val="5C427AAA"/>
    <w:rsid w:val="5D107C15"/>
    <w:rsid w:val="5DF97801"/>
    <w:rsid w:val="5EFA40F3"/>
    <w:rsid w:val="609D5027"/>
    <w:rsid w:val="60F34757"/>
    <w:rsid w:val="6142078F"/>
    <w:rsid w:val="64AC7076"/>
    <w:rsid w:val="6531292E"/>
    <w:rsid w:val="69146C72"/>
    <w:rsid w:val="6AF9205B"/>
    <w:rsid w:val="6CBA560E"/>
    <w:rsid w:val="6D0E5786"/>
    <w:rsid w:val="6E2D45F4"/>
    <w:rsid w:val="7005731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4">
    <w:name w:val="heading 1"/>
    <w:basedOn w:val="1"/>
    <w:next w:val="1"/>
    <w:qFormat/>
    <w:uiPriority w:val="0"/>
    <w:pPr>
      <w:keepNext/>
      <w:keepLines/>
      <w:spacing w:before="100" w:after="100"/>
      <w:ind w:firstLine="0" w:firstLineChars="0"/>
      <w:outlineLvl w:val="0"/>
    </w:pPr>
    <w:rPr>
      <w:b/>
      <w:kern w:val="44"/>
      <w:sz w:val="32"/>
    </w:rPr>
  </w:style>
  <w:style w:type="paragraph" w:styleId="5">
    <w:name w:val="heading 2"/>
    <w:basedOn w:val="1"/>
    <w:next w:val="1"/>
    <w:link w:val="31"/>
    <w:qFormat/>
    <w:uiPriority w:val="0"/>
    <w:pPr>
      <w:keepNext/>
      <w:keepLines/>
      <w:spacing w:before="100" w:after="100"/>
      <w:ind w:firstLine="0" w:firstLineChars="0"/>
      <w:outlineLvl w:val="1"/>
    </w:pPr>
    <w:rPr>
      <w:rFonts w:ascii="Arial" w:hAnsi="Arial"/>
      <w:b/>
      <w:sz w:val="30"/>
    </w:rPr>
  </w:style>
  <w:style w:type="paragraph" w:styleId="6">
    <w:name w:val="heading 3"/>
    <w:basedOn w:val="1"/>
    <w:next w:val="1"/>
    <w:link w:val="32"/>
    <w:qFormat/>
    <w:uiPriority w:val="0"/>
    <w:pPr>
      <w:keepNext/>
      <w:keepLines/>
      <w:ind w:firstLine="0" w:firstLineChars="0"/>
      <w:outlineLvl w:val="2"/>
    </w:pPr>
    <w:rPr>
      <w:b/>
    </w:rPr>
  </w:style>
  <w:style w:type="paragraph" w:styleId="7">
    <w:name w:val="heading 4"/>
    <w:basedOn w:val="1"/>
    <w:next w:val="1"/>
    <w:semiHidden/>
    <w:unhideWhenUsed/>
    <w:qFormat/>
    <w:uiPriority w:val="0"/>
    <w:pPr>
      <w:keepNext/>
      <w:keepLines/>
      <w:spacing w:before="280" w:after="290" w:line="372" w:lineRule="auto"/>
      <w:outlineLvl w:val="3"/>
    </w:pPr>
    <w:rPr>
      <w:rFonts w:ascii="Arial" w:hAnsi="Arial" w:eastAsia="黑体"/>
      <w:b/>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nhideWhenUsed/>
    <w:qFormat/>
    <w:uiPriority w:val="99"/>
    <w:pPr>
      <w:ind w:firstLine="420"/>
    </w:pPr>
  </w:style>
  <w:style w:type="paragraph" w:styleId="3">
    <w:name w:val="Body Text Indent"/>
    <w:basedOn w:val="1"/>
    <w:unhideWhenUsed/>
    <w:qFormat/>
    <w:uiPriority w:val="99"/>
    <w:pPr>
      <w:spacing w:after="120"/>
      <w:ind w:left="420" w:leftChars="200"/>
    </w:pPr>
  </w:style>
  <w:style w:type="paragraph" w:styleId="8">
    <w:name w:val="annotation text"/>
    <w:basedOn w:val="1"/>
    <w:link w:val="24"/>
    <w:qFormat/>
    <w:uiPriority w:val="0"/>
    <w:pPr>
      <w:jc w:val="left"/>
    </w:pPr>
  </w:style>
  <w:style w:type="paragraph" w:styleId="9">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10">
    <w:name w:val="Plain Text"/>
    <w:basedOn w:val="1"/>
    <w:qFormat/>
    <w:uiPriority w:val="0"/>
    <w:rPr>
      <w:rFonts w:hint="eastAsia" w:ascii="宋体" w:hAnsi="Courier New"/>
      <w:sz w:val="21"/>
      <w:szCs w:val="22"/>
    </w:rPr>
  </w:style>
  <w:style w:type="paragraph" w:styleId="11">
    <w:name w:val="Balloon Text"/>
    <w:basedOn w:val="1"/>
    <w:link w:val="25"/>
    <w:qFormat/>
    <w:uiPriority w:val="0"/>
    <w:pPr>
      <w:spacing w:line="240" w:lineRule="auto"/>
    </w:pPr>
    <w:rPr>
      <w:sz w:val="18"/>
      <w:szCs w:val="18"/>
    </w:rPr>
  </w:style>
  <w:style w:type="paragraph" w:styleId="12">
    <w:name w:val="footer"/>
    <w:basedOn w:val="1"/>
    <w:qFormat/>
    <w:uiPriority w:val="0"/>
    <w:pPr>
      <w:tabs>
        <w:tab w:val="center" w:pos="4153"/>
        <w:tab w:val="right" w:pos="8306"/>
      </w:tabs>
      <w:snapToGrid w:val="0"/>
      <w:spacing w:line="240" w:lineRule="auto"/>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4">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5">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6">
    <w:name w:val="Normal (Web)"/>
    <w:basedOn w:val="1"/>
    <w:qFormat/>
    <w:uiPriority w:val="0"/>
    <w:pPr>
      <w:spacing w:before="100" w:beforeAutospacing="1" w:after="100" w:afterAutospacing="1"/>
      <w:jc w:val="left"/>
    </w:pPr>
    <w:rPr>
      <w:kern w:val="0"/>
      <w:sz w:val="24"/>
    </w:rPr>
  </w:style>
  <w:style w:type="paragraph" w:styleId="17">
    <w:name w:val="annotation subject"/>
    <w:basedOn w:val="8"/>
    <w:next w:val="8"/>
    <w:link w:val="28"/>
    <w:qFormat/>
    <w:uiPriority w:val="0"/>
    <w:rPr>
      <w:b/>
      <w:bCs/>
    </w:rPr>
  </w:style>
  <w:style w:type="character" w:styleId="20">
    <w:name w:val="Strong"/>
    <w:qFormat/>
    <w:uiPriority w:val="0"/>
    <w:rPr>
      <w:b/>
    </w:rPr>
  </w:style>
  <w:style w:type="character" w:styleId="21">
    <w:name w:val="Hyperlink"/>
    <w:basedOn w:val="19"/>
    <w:unhideWhenUsed/>
    <w:qFormat/>
    <w:uiPriority w:val="99"/>
    <w:rPr>
      <w:color w:val="0563C1" w:themeColor="hyperlink"/>
      <w:u w:val="single"/>
      <w14:textFill>
        <w14:solidFill>
          <w14:schemeClr w14:val="hlink"/>
        </w14:solidFill>
      </w14:textFill>
    </w:rPr>
  </w:style>
  <w:style w:type="character" w:styleId="22">
    <w:name w:val="annotation reference"/>
    <w:qFormat/>
    <w:uiPriority w:val="0"/>
    <w:rPr>
      <w:sz w:val="21"/>
      <w:szCs w:val="21"/>
    </w:rPr>
  </w:style>
  <w:style w:type="paragraph" w:customStyle="1" w:styleId="23">
    <w:name w:val="正文首行缩进 21"/>
    <w:basedOn w:val="3"/>
    <w:next w:val="1"/>
    <w:unhideWhenUsed/>
    <w:qFormat/>
    <w:uiPriority w:val="99"/>
    <w:pPr>
      <w:ind w:firstLine="420"/>
    </w:pPr>
  </w:style>
  <w:style w:type="character" w:customStyle="1" w:styleId="24">
    <w:name w:val="批注文字 字符"/>
    <w:link w:val="8"/>
    <w:qFormat/>
    <w:uiPriority w:val="0"/>
    <w:rPr>
      <w:rFonts w:ascii="Calibri" w:hAnsi="Calibri"/>
      <w:kern w:val="2"/>
      <w:sz w:val="28"/>
      <w:szCs w:val="24"/>
    </w:rPr>
  </w:style>
  <w:style w:type="character" w:customStyle="1" w:styleId="25">
    <w:name w:val="批注框文本 字符"/>
    <w:link w:val="11"/>
    <w:qFormat/>
    <w:uiPriority w:val="0"/>
    <w:rPr>
      <w:rFonts w:ascii="Calibri" w:hAnsi="Calibri"/>
      <w:kern w:val="2"/>
      <w:sz w:val="18"/>
      <w:szCs w:val="18"/>
    </w:rPr>
  </w:style>
  <w:style w:type="paragraph" w:customStyle="1" w:styleId="26">
    <w:name w:val="目录 11"/>
    <w:basedOn w:val="1"/>
    <w:next w:val="1"/>
    <w:qFormat/>
    <w:uiPriority w:val="0"/>
  </w:style>
  <w:style w:type="paragraph" w:customStyle="1" w:styleId="27">
    <w:name w:val="目录 21"/>
    <w:basedOn w:val="1"/>
    <w:next w:val="1"/>
    <w:qFormat/>
    <w:uiPriority w:val="0"/>
    <w:pPr>
      <w:ind w:left="420" w:leftChars="200"/>
    </w:pPr>
  </w:style>
  <w:style w:type="character" w:customStyle="1" w:styleId="28">
    <w:name w:val="批注主题 字符"/>
    <w:link w:val="17"/>
    <w:qFormat/>
    <w:uiPriority w:val="0"/>
    <w:rPr>
      <w:rFonts w:ascii="Calibri" w:hAnsi="Calibri"/>
      <w:b/>
      <w:bCs/>
      <w:kern w:val="2"/>
      <w:sz w:val="28"/>
      <w:szCs w:val="24"/>
    </w:rPr>
  </w:style>
  <w:style w:type="paragraph" w:customStyle="1" w:styleId="29">
    <w:name w:val="WPSOffice手动目录 1"/>
    <w:qFormat/>
    <w:uiPriority w:val="0"/>
    <w:rPr>
      <w:rFonts w:ascii="Times New Roman" w:hAnsi="Times New Roman" w:eastAsia="宋体" w:cs="Times New Roman"/>
      <w:lang w:val="en-US" w:eastAsia="zh-CN" w:bidi="ar-SA"/>
    </w:rPr>
  </w:style>
  <w:style w:type="paragraph" w:customStyle="1" w:styleId="30">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1">
    <w:name w:val="标题 2 字符"/>
    <w:link w:val="5"/>
    <w:qFormat/>
    <w:uiPriority w:val="0"/>
    <w:rPr>
      <w:rFonts w:ascii="Arial" w:hAnsi="Arial"/>
      <w:b/>
      <w:kern w:val="2"/>
      <w:sz w:val="30"/>
      <w:szCs w:val="24"/>
    </w:rPr>
  </w:style>
  <w:style w:type="character" w:customStyle="1" w:styleId="32">
    <w:name w:val="标题 3 字符"/>
    <w:link w:val="6"/>
    <w:qFormat/>
    <w:uiPriority w:val="0"/>
    <w:rPr>
      <w:rFonts w:ascii="Calibri" w:hAnsi="Calibri"/>
      <w:b/>
      <w:kern w:val="2"/>
      <w:sz w:val="28"/>
      <w:szCs w:val="24"/>
    </w:rPr>
  </w:style>
  <w:style w:type="paragraph" w:customStyle="1" w:styleId="33">
    <w:name w:val="_Style 25"/>
    <w:basedOn w:val="3"/>
    <w:next w:val="1"/>
    <w:unhideWhenUsed/>
    <w:qFormat/>
    <w:uiPriority w:val="99"/>
    <w:pPr>
      <w:ind w:firstLine="420"/>
    </w:pPr>
  </w:style>
  <w:style w:type="paragraph" w:styleId="34">
    <w:name w:val="List Paragraph"/>
    <w:basedOn w:val="1"/>
    <w:qFormat/>
    <w:uiPriority w:val="99"/>
    <w:pPr>
      <w:ind w:firstLine="420"/>
    </w:pPr>
  </w:style>
  <w:style w:type="paragraph" w:customStyle="1" w:styleId="35">
    <w:name w:val="TOC 标题1"/>
    <w:basedOn w:val="4"/>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6">
    <w:name w:val="_Style 32"/>
    <w:basedOn w:val="3"/>
    <w:next w:val="1"/>
    <w:unhideWhenUsed/>
    <w:qFormat/>
    <w:uiPriority w:val="99"/>
    <w:pPr>
      <w:ind w:firstLine="420"/>
    </w:pPr>
  </w:style>
  <w:style w:type="character" w:customStyle="1" w:styleId="37">
    <w:name w:val="标题 3 Char"/>
    <w:qFormat/>
    <w:uiPriority w:val="0"/>
    <w:rPr>
      <w:rFonts w:eastAsia="宋体"/>
      <w:b/>
      <w:sz w:val="28"/>
      <w:szCs w:val="22"/>
    </w:rPr>
  </w:style>
  <w:style w:type="character" w:customStyle="1" w:styleId="38">
    <w:name w:val="标题 2 Char"/>
    <w:qFormat/>
    <w:uiPriority w:val="0"/>
    <w:rPr>
      <w:rFonts w:ascii="Arial" w:hAnsi="Arial"/>
      <w:b/>
      <w:kern w:val="2"/>
      <w:sz w:val="30"/>
      <w:szCs w:val="24"/>
    </w:rPr>
  </w:style>
  <w:style w:type="table" w:customStyle="1" w:styleId="39">
    <w:name w:val="写书表格样式"/>
    <w:basedOn w:val="18"/>
    <w:qFormat/>
    <w:uiPriority w:val="0"/>
    <w:pPr>
      <w:jc w:val="both"/>
    </w:pPr>
    <w:rPr>
      <w:sz w:val="18"/>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paragraph" w:customStyle="1" w:styleId="40">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1.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26</Pages>
  <Words>5500</Words>
  <Characters>5760</Characters>
  <Lines>959</Lines>
  <Paragraphs>799</Paragraphs>
  <TotalTime>5</TotalTime>
  <ScaleCrop>false</ScaleCrop>
  <LinksUpToDate>false</LinksUpToDate>
  <CharactersWithSpaces>5842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cp:lastModifiedBy>
  <cp:lastPrinted>2022-08-24T03:53:00Z</cp:lastPrinted>
  <dcterms:modified xsi:type="dcterms:W3CDTF">2026-07-30T07:30:37Z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D2A45EC3F85A48DF9122E5FC06007C68_13</vt:lpwstr>
  </property>
  <property fmtid="{D5CDD505-2E9C-101B-9397-08002B2CF9AE}" pid="4" name="KSOTemplateDocerSaveRecord">
    <vt:lpwstr>eyJoZGlkIjoiMDdkMTYyYzNlNmNmMmQwMDlmZGQ3YTBmNDUyMGVhMWUiLCJ1c2VySWQiOiI0MDM0NDIxMzIifQ==</vt:lpwstr>
  </property>
</Properties>
</file>