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keepNext w:val="0"/>
        <w:keepLines w:val="0"/>
        <w:pageBreakBefore w:val="0"/>
        <w:widowControl w:val="0"/>
        <w:kinsoku/>
        <w:wordWrap/>
        <w:overflowPunct/>
        <w:topLinePunct w:val="0"/>
        <w:autoSpaceDE/>
        <w:autoSpaceDN/>
        <w:bidi w:val="0"/>
        <w:adjustRightInd w:val="0"/>
        <w:snapToGrid w:val="0"/>
        <w:spacing w:line="360" w:lineRule="auto"/>
        <w:ind w:firstLine="602" w:firstLineChars="200"/>
        <w:jc w:val="center"/>
        <w:textAlignment w:val="auto"/>
        <w:rPr>
          <w:rFonts w:hint="eastAsia" w:ascii="宋体" w:hAnsi="宋体" w:eastAsia="宋体" w:cs="宋体"/>
          <w:b/>
          <w:bCs/>
          <w:sz w:val="30"/>
          <w:szCs w:val="30"/>
          <w:lang w:eastAsia="zh-CN"/>
        </w:rPr>
      </w:pPr>
      <w:r>
        <w:rPr>
          <w:rFonts w:hint="eastAsia" w:ascii="宋体" w:hAnsi="宋体" w:eastAsia="宋体" w:cs="宋体"/>
          <w:b/>
          <w:bCs/>
          <w:sz w:val="30"/>
          <w:szCs w:val="30"/>
          <w:lang w:eastAsia="zh-CN"/>
        </w:rPr>
        <w:t>数字经济AI建模教学平台</w:t>
      </w:r>
    </w:p>
    <w:p w14:paraId="0020E94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lang w:eastAsia="zh-CN"/>
        </w:rPr>
        <w:t>数字经济AI建模教学平台</w:t>
      </w:r>
      <w:r>
        <w:rPr>
          <w:rFonts w:hint="eastAsia" w:ascii="宋体" w:hAnsi="宋体" w:eastAsia="宋体" w:cs="宋体"/>
          <w:sz w:val="24"/>
        </w:rPr>
        <w:t>基于AI、Python、stata技术，</w:t>
      </w:r>
      <w:r>
        <w:rPr>
          <w:rFonts w:hint="eastAsia" w:ascii="宋体" w:hAnsi="宋体" w:eastAsia="宋体" w:cs="宋体"/>
          <w:sz w:val="24"/>
          <w:szCs w:val="24"/>
          <w:lang w:val="en-US" w:eastAsia="zh-CN"/>
        </w:rPr>
        <w:t>搭载AI科研平台，含AI+论文选题、AI+数据推荐、AI+实证分析等模块，并</w:t>
      </w:r>
      <w:r>
        <w:rPr>
          <w:rFonts w:hint="eastAsia" w:ascii="宋体" w:hAnsi="宋体" w:eastAsia="宋体" w:cs="宋体"/>
          <w:sz w:val="24"/>
          <w:szCs w:val="24"/>
        </w:rPr>
        <w:t>通过顶刊论文案例复现操作</w:t>
      </w:r>
      <w:r>
        <w:rPr>
          <w:rFonts w:hint="eastAsia" w:ascii="宋体" w:hAnsi="宋体" w:eastAsia="宋体" w:cs="宋体"/>
          <w:sz w:val="24"/>
        </w:rPr>
        <w:t>，融合AI和机器学习展示数据，AI经济建模实验可实现读取数据、数据预处理、各类检验、数据可视化、特征工程、调试工具、stata计量建模分析等科研分析任务</w:t>
      </w:r>
      <w:bookmarkStart w:id="0" w:name="_Hlk117687846"/>
      <w:r>
        <w:rPr>
          <w:rFonts w:hint="eastAsia" w:ascii="宋体" w:hAnsi="宋体" w:eastAsia="宋体" w:cs="宋体"/>
          <w:sz w:val="24"/>
          <w:lang w:eastAsia="zh-CN"/>
        </w:rPr>
        <w:t>。</w:t>
      </w:r>
      <w:r>
        <w:rPr>
          <w:rFonts w:hint="eastAsia" w:ascii="宋体" w:hAnsi="宋体" w:eastAsia="宋体" w:cs="宋体"/>
          <w:sz w:val="24"/>
        </w:rPr>
        <w:t>排名第一的供应商在合同签订前还需现场或远程演示并获得最终使用此软件的老师签字认可，否则依次顺位下一排名的供应商作为中标方。</w:t>
      </w:r>
      <w:bookmarkEnd w:id="0"/>
    </w:p>
    <w:p w14:paraId="617624B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rPr>
        <w:t>一、</w:t>
      </w:r>
      <w:r>
        <w:rPr>
          <w:rFonts w:hint="eastAsia" w:ascii="宋体" w:hAnsi="宋体" w:eastAsia="宋体" w:cs="宋体"/>
          <w:b/>
          <w:bCs/>
          <w:sz w:val="24"/>
          <w:lang w:eastAsia="zh-CN"/>
        </w:rPr>
        <w:t>数字经济AI建模教学平台</w:t>
      </w:r>
      <w:r>
        <w:rPr>
          <w:rFonts w:hint="eastAsia" w:ascii="宋体" w:hAnsi="宋体" w:eastAsia="宋体" w:cs="宋体"/>
          <w:b/>
          <w:bCs/>
          <w:sz w:val="24"/>
          <w:lang w:val="en-US" w:eastAsia="zh-CN"/>
        </w:rPr>
        <w:t>框架</w:t>
      </w:r>
      <w:r>
        <w:rPr>
          <w:rFonts w:hint="eastAsia" w:ascii="宋体" w:hAnsi="宋体" w:eastAsia="宋体" w:cs="宋体"/>
          <w:b/>
          <w:bCs/>
          <w:sz w:val="24"/>
        </w:rPr>
        <w:t>（加★号项需现场或远程演示，否则不作为中标候选人）</w:t>
      </w:r>
    </w:p>
    <w:p w14:paraId="14F1679A">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AI教学实训平台界面查看和管理教学资源，并进行计量建模分析，涵盖读取数据、数据预处理、各类检验、数据可视化、特征工程、传统计量建模分析、空间计量建模分析、Python工具等组件，低代码，拖拉拽组件配置参数即可实现数据分析与计量建模功能，并可展示调用的stata和Python代码，可在流程图式呈现整个计量建模过程。这些实验为本平台的核心功能。</w:t>
      </w:r>
    </w:p>
    <w:p w14:paraId="7D5D46D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读取数据模块，可通过拖拽功能组件读取 txt 、csv 、 Excel等格式的文件。</w:t>
      </w:r>
    </w:p>
    <w:p w14:paraId="4940AF9F">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了解数据模块，可通过拖拽功能组件查看前N行、后台调用stata代码和Python代码进行描述性统计。</w:t>
      </w:r>
    </w:p>
    <w:p w14:paraId="16402DE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数据预处理模块，可通过拖拽功能组件转换、设置、过滤、生成等数据预处理，如长表转成宽表、日期格式转换、缩尾或截尾、数字字符转数值、设置列数据类型、索引控制、排序、更改行名/列名、设置面板数据、设置时间序列数据、采样、行过滤、删除重复值/缺失值、缺失值填充、数据拆分、分离特征等数据预处理常见操作。</w:t>
      </w:r>
    </w:p>
    <w:p w14:paraId="78A3A40D">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各类检验模块覆盖卡方检验，T检验-双样本、T检验-单样本、偏态分布检验、hausman检验、倾向得分匹配、处理效应估计、平衡性检验、多重共线性检验、似无相关估计等功能组件，可以通过拖拽功能组件实现各类检验。</w:t>
      </w:r>
    </w:p>
    <w:p w14:paraId="0DA3C96B">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★可通过配置组件实现箱线图、热力图、直方图、散点图、时序图、饼图、柱状图、折线图等数据可视化呈现。</w:t>
      </w:r>
    </w:p>
    <w:p w14:paraId="60FC2886">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★通过拖拉拽实现行列转置、离散化、特征变换、正则化、中心化、标准化、数据透视表、归一化、主成分分析/PCA、序列编码、独立编码等特征工程功能。</w:t>
      </w:r>
    </w:p>
    <w:p w14:paraId="0E0F17E1">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可后台调用stata代码，通过拖拉拽功能组件实现变量预设、相关性分析、线性回归、面板数据回归、高维固定效应回归、双重差分(DID)、二阶段回归(2SLS)、面板数据二阶段回归(2SLS）、动态面板数据的GMM估计、高维固定效应IV估计、面板数据二元选择模型、分位数回归、逻辑回归、正态分布模型、截面门槛效应回归、面板门槛效应回归等传统计量建模分析，也支持自编stata代码。</w:t>
      </w:r>
    </w:p>
    <w:p w14:paraId="01FAF309">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★覆盖创建空间权重矩阵、空间面板数据回归等空间计量建模分析（stata）。</w:t>
      </w:r>
    </w:p>
    <w:p w14:paraId="234FC698">
      <w:pPr>
        <w:keepNext w:val="0"/>
        <w:keepLines w:val="0"/>
        <w:pageBreakBefore w:val="0"/>
        <w:widowControl w:val="0"/>
        <w:numPr>
          <w:ilvl w:val="0"/>
          <w:numId w:val="1"/>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支持自编Python代码，并嵌套进入功能组件，进行数据处理。</w:t>
      </w:r>
    </w:p>
    <w:p w14:paraId="5DF3712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r>
        <w:rPr>
          <w:rFonts w:hint="eastAsia" w:ascii="宋体" w:hAnsi="宋体" w:eastAsia="宋体" w:cs="宋体"/>
          <w:b/>
          <w:bCs/>
          <w:sz w:val="24"/>
          <w:lang w:val="en-US" w:eastAsia="zh-CN"/>
        </w:rPr>
        <w:t>二</w:t>
      </w:r>
      <w:r>
        <w:rPr>
          <w:rFonts w:hint="eastAsia" w:ascii="宋体" w:hAnsi="宋体" w:eastAsia="宋体" w:cs="宋体"/>
          <w:b/>
          <w:bCs/>
          <w:sz w:val="24"/>
        </w:rPr>
        <w:t>、</w:t>
      </w:r>
      <w:r>
        <w:rPr>
          <w:rFonts w:hint="eastAsia" w:ascii="宋体" w:hAnsi="宋体" w:eastAsia="宋体" w:cs="宋体"/>
          <w:b/>
          <w:bCs/>
          <w:sz w:val="24"/>
          <w:lang w:val="en-US" w:eastAsia="zh-CN"/>
        </w:rPr>
        <w:t>实验案例功能</w:t>
      </w:r>
      <w:r>
        <w:rPr>
          <w:rFonts w:hint="eastAsia" w:ascii="宋体" w:hAnsi="宋体" w:eastAsia="宋体" w:cs="宋体"/>
          <w:b/>
          <w:bCs/>
          <w:sz w:val="24"/>
        </w:rPr>
        <w:t>（加★号项需现场或远程演示，否则不作为中标候选人）</w:t>
      </w:r>
    </w:p>
    <w:p w14:paraId="44B29E93">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rPr>
        <w:t>★</w:t>
      </w:r>
      <w:r>
        <w:rPr>
          <w:rFonts w:hint="eastAsia" w:ascii="宋体" w:hAnsi="宋体" w:eastAsia="宋体" w:cs="宋体"/>
          <w:b/>
          <w:bCs/>
          <w:sz w:val="24"/>
          <w:szCs w:val="24"/>
          <w:lang w:val="en-US" w:eastAsia="zh-CN"/>
        </w:rPr>
        <w:t>AI科研平台</w:t>
      </w:r>
    </w:p>
    <w:p w14:paraId="287CE240">
      <w:pPr>
        <w:pageBreakBefore w:val="0"/>
        <w:widowControl w:val="0"/>
        <w:kinsoku/>
        <w:wordWrap/>
        <w:overflowPunct/>
        <w:topLinePunct w:val="0"/>
        <w:autoSpaceDE/>
        <w:autoSpaceDN/>
        <w:bidi w:val="0"/>
        <w:adjustRightInd w:val="0"/>
        <w:snapToGrid w:val="0"/>
        <w:spacing w:beforeAutospacing="0" w:afterAutospacing="0" w:line="360" w:lineRule="auto"/>
        <w:ind w:right="0" w:firstLine="36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1 AI+论文选题</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1696"/>
        <w:gridCol w:w="5327"/>
      </w:tblGrid>
      <w:tr w14:paraId="067AA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878" w:type="pct"/>
            <w:shd w:val="clear" w:color="auto" w:fill="E6E6E6"/>
            <w:noWrap w:val="0"/>
            <w:vAlign w:val="center"/>
          </w:tcPr>
          <w:p w14:paraId="37175E51">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一级模块</w:t>
            </w:r>
          </w:p>
        </w:tc>
        <w:tc>
          <w:tcPr>
            <w:tcW w:w="995" w:type="pct"/>
            <w:shd w:val="clear" w:color="auto" w:fill="E6E6E6"/>
            <w:noWrap w:val="0"/>
            <w:vAlign w:val="center"/>
          </w:tcPr>
          <w:p w14:paraId="7BCE85D7">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二级模块</w:t>
            </w:r>
          </w:p>
        </w:tc>
        <w:tc>
          <w:tcPr>
            <w:tcW w:w="3126" w:type="pct"/>
            <w:shd w:val="clear" w:color="auto" w:fill="E6E6E6"/>
            <w:noWrap w:val="0"/>
            <w:vAlign w:val="center"/>
          </w:tcPr>
          <w:p w14:paraId="636536D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实验项目名称</w:t>
            </w:r>
          </w:p>
        </w:tc>
      </w:tr>
      <w:tr w14:paraId="760C3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878" w:type="pct"/>
            <w:vMerge w:val="restart"/>
            <w:noWrap w:val="0"/>
            <w:vAlign w:val="center"/>
          </w:tcPr>
          <w:p w14:paraId="1D04BB0F">
            <w:pPr>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AI+论文选题</w:t>
            </w:r>
          </w:p>
          <w:p w14:paraId="7F0E4866">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noWrap w:val="0"/>
            <w:vAlign w:val="center"/>
          </w:tcPr>
          <w:p w14:paraId="78F602D6">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3126" w:type="pct"/>
            <w:noWrap w:val="0"/>
            <w:vAlign w:val="center"/>
          </w:tcPr>
          <w:p w14:paraId="7893FFA2">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打开并登录AI科研平台</w:t>
            </w:r>
          </w:p>
        </w:tc>
      </w:tr>
      <w:tr w14:paraId="21038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878" w:type="pct"/>
            <w:vMerge w:val="continue"/>
            <w:noWrap w:val="0"/>
            <w:vAlign w:val="center"/>
          </w:tcPr>
          <w:p w14:paraId="0E971593">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restart"/>
            <w:noWrap w:val="0"/>
            <w:vAlign w:val="center"/>
          </w:tcPr>
          <w:p w14:paraId="18DA23D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3126" w:type="pct"/>
            <w:noWrap w:val="0"/>
            <w:vAlign w:val="center"/>
          </w:tcPr>
          <w:p w14:paraId="24413C56">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筛选期刊级别、专业</w:t>
            </w:r>
          </w:p>
        </w:tc>
      </w:tr>
      <w:tr w14:paraId="7ED3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878" w:type="pct"/>
            <w:vMerge w:val="continue"/>
            <w:noWrap w:val="0"/>
            <w:vAlign w:val="center"/>
          </w:tcPr>
          <w:p w14:paraId="2E14500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22355849">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126" w:type="pct"/>
            <w:noWrap w:val="0"/>
            <w:vAlign w:val="top"/>
          </w:tcPr>
          <w:p w14:paraId="3F9648BE">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是否匹配政策热点、是否使用创新性提高版本</w:t>
            </w:r>
          </w:p>
        </w:tc>
      </w:tr>
      <w:tr w14:paraId="2E45D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878" w:type="pct"/>
            <w:vMerge w:val="continue"/>
            <w:noWrap w:val="0"/>
            <w:vAlign w:val="center"/>
          </w:tcPr>
          <w:p w14:paraId="6C4C4337">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535077A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126" w:type="pct"/>
            <w:noWrap w:val="0"/>
            <w:vAlign w:val="top"/>
          </w:tcPr>
          <w:p w14:paraId="210FB14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i w:val="0"/>
                <w:iCs w:val="0"/>
                <w:caps w:val="0"/>
                <w:spacing w:val="0"/>
                <w:sz w:val="21"/>
                <w:szCs w:val="21"/>
                <w:shd w:val="clear" w:fill="FFFFFF"/>
                <w:lang w:val="en-US" w:eastAsia="zh-CN"/>
              </w:rPr>
              <w:t>确定</w:t>
            </w:r>
            <w:r>
              <w:rPr>
                <w:rFonts w:hint="eastAsia" w:ascii="宋体" w:hAnsi="宋体" w:eastAsia="宋体" w:cs="宋体"/>
                <w:i w:val="0"/>
                <w:iCs w:val="0"/>
                <w:caps w:val="0"/>
                <w:spacing w:val="0"/>
                <w:sz w:val="21"/>
                <w:szCs w:val="21"/>
                <w:shd w:val="clear" w:fill="FFFFFF"/>
              </w:rPr>
              <w:t>论文发表时间跨度</w:t>
            </w:r>
            <w:r>
              <w:rPr>
                <w:rFonts w:hint="eastAsia" w:ascii="宋体" w:hAnsi="宋体" w:eastAsia="宋体" w:cs="宋体"/>
                <w:i w:val="0"/>
                <w:iCs w:val="0"/>
                <w:caps w:val="0"/>
                <w:spacing w:val="0"/>
                <w:sz w:val="21"/>
                <w:szCs w:val="21"/>
                <w:shd w:val="clear" w:fill="FFFFFF"/>
                <w:lang w:eastAsia="zh-CN"/>
              </w:rPr>
              <w:t>的</w:t>
            </w:r>
            <w:r>
              <w:rPr>
                <w:rFonts w:hint="eastAsia" w:ascii="宋体" w:hAnsi="宋体" w:eastAsia="宋体" w:cs="宋体"/>
                <w:i w:val="0"/>
                <w:iCs w:val="0"/>
                <w:caps w:val="0"/>
                <w:spacing w:val="0"/>
                <w:sz w:val="21"/>
                <w:szCs w:val="21"/>
                <w:shd w:val="clear" w:fill="FFFFFF"/>
                <w:lang w:val="en-US" w:eastAsia="zh-CN"/>
              </w:rPr>
              <w:t>范围</w:t>
            </w:r>
          </w:p>
        </w:tc>
      </w:tr>
      <w:tr w14:paraId="055C2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878" w:type="pct"/>
            <w:vMerge w:val="continue"/>
            <w:noWrap w:val="0"/>
            <w:vAlign w:val="center"/>
          </w:tcPr>
          <w:p w14:paraId="244A0E2D">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3E8D55A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126" w:type="pct"/>
            <w:noWrap w:val="0"/>
            <w:vAlign w:val="top"/>
          </w:tcPr>
          <w:p w14:paraId="1B46FEC6">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输入论文内容与主题</w:t>
            </w:r>
          </w:p>
        </w:tc>
      </w:tr>
      <w:tr w14:paraId="6386C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878" w:type="pct"/>
            <w:vMerge w:val="continue"/>
            <w:noWrap w:val="0"/>
            <w:vAlign w:val="center"/>
          </w:tcPr>
          <w:p w14:paraId="4E69C4C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18595741">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126" w:type="pct"/>
            <w:noWrap w:val="0"/>
            <w:vAlign w:val="top"/>
          </w:tcPr>
          <w:p w14:paraId="0C4D59C8">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i w:val="0"/>
                <w:iCs w:val="0"/>
                <w:caps w:val="0"/>
                <w:spacing w:val="0"/>
                <w:sz w:val="21"/>
                <w:szCs w:val="21"/>
                <w:shd w:val="clear" w:fill="FFFFFF"/>
              </w:rPr>
              <w:t>基于查找的数据以及该期刊的词频分布结果</w:t>
            </w:r>
            <w:r>
              <w:rPr>
                <w:rFonts w:hint="eastAsia" w:ascii="宋体" w:hAnsi="宋体" w:eastAsia="宋体" w:cs="宋体"/>
                <w:i w:val="0"/>
                <w:iCs w:val="0"/>
                <w:caps w:val="0"/>
                <w:spacing w:val="0"/>
                <w:sz w:val="21"/>
                <w:szCs w:val="21"/>
                <w:shd w:val="clear" w:fill="FFFFFF"/>
                <w:lang w:eastAsia="zh-CN"/>
              </w:rPr>
              <w:t>，</w:t>
            </w:r>
            <w:r>
              <w:rPr>
                <w:rFonts w:hint="eastAsia" w:ascii="宋体" w:hAnsi="宋体" w:eastAsia="宋体" w:cs="宋体"/>
                <w:i w:val="0"/>
                <w:iCs w:val="0"/>
                <w:caps w:val="0"/>
                <w:spacing w:val="0"/>
                <w:sz w:val="21"/>
                <w:szCs w:val="21"/>
                <w:shd w:val="clear" w:fill="FFFFFF"/>
                <w:lang w:val="en-US" w:eastAsia="zh-CN"/>
              </w:rPr>
              <w:t>要求给出几个选题</w:t>
            </w:r>
          </w:p>
        </w:tc>
      </w:tr>
      <w:tr w14:paraId="0F9FB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8" w:type="pct"/>
            <w:vMerge w:val="continue"/>
            <w:noWrap w:val="0"/>
            <w:vAlign w:val="center"/>
          </w:tcPr>
          <w:p w14:paraId="028BD947">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restart"/>
            <w:noWrap w:val="0"/>
            <w:vAlign w:val="center"/>
          </w:tcPr>
          <w:p w14:paraId="456D3EF6">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实验总结</w:t>
            </w:r>
          </w:p>
        </w:tc>
        <w:tc>
          <w:tcPr>
            <w:tcW w:w="3126" w:type="pct"/>
            <w:noWrap w:val="0"/>
            <w:vAlign w:val="center"/>
          </w:tcPr>
          <w:p w14:paraId="0960D717">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说明可能的创新点；</w:t>
            </w:r>
          </w:p>
        </w:tc>
      </w:tr>
      <w:tr w14:paraId="4F56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8" w:type="pct"/>
            <w:vMerge w:val="continue"/>
            <w:noWrap w:val="0"/>
            <w:vAlign w:val="center"/>
          </w:tcPr>
          <w:p w14:paraId="5794073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1DABC39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3126" w:type="pct"/>
            <w:noWrap w:val="0"/>
            <w:vAlign w:val="center"/>
          </w:tcPr>
          <w:p w14:paraId="02338551">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说明该选题方向下的研究重点</w:t>
            </w:r>
          </w:p>
        </w:tc>
      </w:tr>
      <w:tr w14:paraId="4121D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8" w:type="pct"/>
            <w:vMerge w:val="continue"/>
            <w:noWrap w:val="0"/>
            <w:vAlign w:val="center"/>
          </w:tcPr>
          <w:p w14:paraId="6BD1045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1D69FF59">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3126" w:type="pct"/>
            <w:noWrap w:val="0"/>
            <w:vAlign w:val="center"/>
          </w:tcPr>
          <w:p w14:paraId="6E57560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说明选题推荐理由</w:t>
            </w:r>
          </w:p>
        </w:tc>
      </w:tr>
      <w:tr w14:paraId="21AD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8" w:type="pct"/>
            <w:vMerge w:val="continue"/>
            <w:noWrap w:val="0"/>
            <w:vAlign w:val="center"/>
          </w:tcPr>
          <w:p w14:paraId="14256B1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26418063">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3126" w:type="pct"/>
            <w:noWrap w:val="0"/>
            <w:vAlign w:val="center"/>
          </w:tcPr>
          <w:p w14:paraId="2C17026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备注参考论文</w:t>
            </w:r>
          </w:p>
        </w:tc>
      </w:tr>
      <w:tr w14:paraId="4D8A8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78" w:type="pct"/>
            <w:vMerge w:val="continue"/>
            <w:noWrap w:val="0"/>
            <w:vAlign w:val="center"/>
          </w:tcPr>
          <w:p w14:paraId="4D573392">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995" w:type="pct"/>
            <w:vMerge w:val="continue"/>
            <w:noWrap w:val="0"/>
            <w:vAlign w:val="center"/>
          </w:tcPr>
          <w:p w14:paraId="3E1E857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3126" w:type="pct"/>
            <w:noWrap w:val="0"/>
            <w:vAlign w:val="center"/>
          </w:tcPr>
          <w:p w14:paraId="10D2F322">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提出写作方向建议</w:t>
            </w:r>
          </w:p>
        </w:tc>
      </w:tr>
    </w:tbl>
    <w:p w14:paraId="5FBC2F63">
      <w:pPr>
        <w:pageBreakBefore w:val="0"/>
        <w:widowControl w:val="0"/>
        <w:kinsoku/>
        <w:wordWrap/>
        <w:overflowPunct/>
        <w:topLinePunct w:val="0"/>
        <w:autoSpaceDE/>
        <w:autoSpaceDN/>
        <w:bidi w:val="0"/>
        <w:adjustRightInd w:val="0"/>
        <w:snapToGrid w:val="0"/>
        <w:spacing w:beforeAutospacing="0" w:afterAutospacing="0" w:line="360" w:lineRule="auto"/>
        <w:ind w:right="0" w:firstLine="36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2 AI+数据推荐</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9"/>
        <w:gridCol w:w="1824"/>
        <w:gridCol w:w="5087"/>
      </w:tblGrid>
      <w:tr w14:paraId="2B6B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944" w:type="pct"/>
            <w:shd w:val="clear" w:color="auto" w:fill="E6E6E6"/>
            <w:noWrap w:val="0"/>
            <w:vAlign w:val="center"/>
          </w:tcPr>
          <w:p w14:paraId="28EE30B1">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一级模块</w:t>
            </w:r>
          </w:p>
        </w:tc>
        <w:tc>
          <w:tcPr>
            <w:tcW w:w="1070" w:type="pct"/>
            <w:shd w:val="clear" w:color="auto" w:fill="E6E6E6"/>
            <w:noWrap w:val="0"/>
            <w:vAlign w:val="center"/>
          </w:tcPr>
          <w:p w14:paraId="4A51B18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二级模块</w:t>
            </w:r>
          </w:p>
        </w:tc>
        <w:tc>
          <w:tcPr>
            <w:tcW w:w="2984" w:type="pct"/>
            <w:shd w:val="clear" w:color="auto" w:fill="E6E6E6"/>
            <w:noWrap w:val="0"/>
            <w:vAlign w:val="center"/>
          </w:tcPr>
          <w:p w14:paraId="690F44C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实验项目名称</w:t>
            </w:r>
          </w:p>
        </w:tc>
      </w:tr>
      <w:tr w14:paraId="4B12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44" w:type="pct"/>
            <w:vMerge w:val="restart"/>
            <w:noWrap w:val="0"/>
            <w:vAlign w:val="center"/>
          </w:tcPr>
          <w:p w14:paraId="61BCA7F2">
            <w:pPr>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AI+数据推荐</w:t>
            </w:r>
          </w:p>
          <w:p w14:paraId="61ECB12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070" w:type="pct"/>
            <w:noWrap w:val="0"/>
            <w:vAlign w:val="center"/>
          </w:tcPr>
          <w:p w14:paraId="7DF828A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2984" w:type="pct"/>
            <w:noWrap w:val="0"/>
            <w:vAlign w:val="center"/>
          </w:tcPr>
          <w:p w14:paraId="21CB136B">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打开并登录AI科研平台</w:t>
            </w:r>
          </w:p>
        </w:tc>
      </w:tr>
      <w:tr w14:paraId="42216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944" w:type="pct"/>
            <w:vMerge w:val="continue"/>
            <w:noWrap w:val="0"/>
            <w:vAlign w:val="center"/>
          </w:tcPr>
          <w:p w14:paraId="178AD5C7">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070" w:type="pct"/>
            <w:vMerge w:val="restart"/>
            <w:noWrap w:val="0"/>
            <w:vAlign w:val="center"/>
          </w:tcPr>
          <w:p w14:paraId="4B5B2C48">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2984" w:type="pct"/>
            <w:noWrap w:val="0"/>
            <w:vAlign w:val="center"/>
          </w:tcPr>
          <w:p w14:paraId="3082F95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输入研究主题，确定时间范围，得到数据指标名称</w:t>
            </w:r>
          </w:p>
        </w:tc>
      </w:tr>
      <w:tr w14:paraId="0D54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944" w:type="pct"/>
            <w:vMerge w:val="continue"/>
            <w:noWrap w:val="0"/>
            <w:vAlign w:val="center"/>
          </w:tcPr>
          <w:p w14:paraId="6902FF73">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070" w:type="pct"/>
            <w:vMerge w:val="continue"/>
            <w:noWrap w:val="0"/>
            <w:vAlign w:val="center"/>
          </w:tcPr>
          <w:p w14:paraId="531C4F6B">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2984" w:type="pct"/>
            <w:noWrap w:val="0"/>
            <w:vAlign w:val="top"/>
          </w:tcPr>
          <w:p w14:paraId="513E94E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输入研究对象，探索代理变量并基于数据指标列出</w:t>
            </w:r>
          </w:p>
        </w:tc>
      </w:tr>
      <w:tr w14:paraId="67E58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944" w:type="pct"/>
            <w:vMerge w:val="continue"/>
            <w:noWrap w:val="0"/>
            <w:vAlign w:val="center"/>
          </w:tcPr>
          <w:p w14:paraId="297D57E8">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070" w:type="pct"/>
            <w:vMerge w:val="continue"/>
            <w:noWrap w:val="0"/>
            <w:vAlign w:val="center"/>
          </w:tcPr>
          <w:p w14:paraId="03D5B79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2984" w:type="pct"/>
            <w:noWrap w:val="0"/>
            <w:vAlign w:val="top"/>
          </w:tcPr>
          <w:p w14:paraId="5DA7A198">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输入复核指标名称，</w:t>
            </w:r>
            <w:r>
              <w:rPr>
                <w:rFonts w:hint="eastAsia" w:ascii="宋体" w:hAnsi="宋体" w:eastAsia="宋体" w:cs="宋体"/>
                <w:i w:val="0"/>
                <w:iCs w:val="0"/>
                <w:caps w:val="0"/>
                <w:spacing w:val="0"/>
                <w:sz w:val="21"/>
                <w:szCs w:val="21"/>
                <w:shd w:val="clear" w:fill="FFFFFF"/>
              </w:rPr>
              <w:t>复合指标的完整指标体系并确定相关权重</w:t>
            </w:r>
          </w:p>
        </w:tc>
      </w:tr>
      <w:tr w14:paraId="1607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4" w:type="pct"/>
            <w:vMerge w:val="continue"/>
            <w:noWrap w:val="0"/>
            <w:vAlign w:val="center"/>
          </w:tcPr>
          <w:p w14:paraId="003DA013">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070" w:type="pct"/>
            <w:noWrap w:val="0"/>
            <w:vAlign w:val="center"/>
          </w:tcPr>
          <w:p w14:paraId="51E2B356">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实验总结</w:t>
            </w:r>
          </w:p>
        </w:tc>
        <w:tc>
          <w:tcPr>
            <w:tcW w:w="2984" w:type="pct"/>
            <w:noWrap w:val="0"/>
            <w:vAlign w:val="center"/>
          </w:tcPr>
          <w:p w14:paraId="6AD925C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判断数据指标的合理性及可行性</w:t>
            </w:r>
          </w:p>
        </w:tc>
      </w:tr>
    </w:tbl>
    <w:p w14:paraId="0A05F8C8">
      <w:pPr>
        <w:pageBreakBefore w:val="0"/>
        <w:widowControl w:val="0"/>
        <w:kinsoku/>
        <w:wordWrap/>
        <w:overflowPunct/>
        <w:topLinePunct w:val="0"/>
        <w:autoSpaceDE/>
        <w:autoSpaceDN/>
        <w:bidi w:val="0"/>
        <w:adjustRightInd w:val="0"/>
        <w:snapToGrid w:val="0"/>
        <w:spacing w:beforeAutospacing="0" w:afterAutospacing="0" w:line="360" w:lineRule="auto"/>
        <w:ind w:right="0" w:firstLine="36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3 AI+实证分析</w:t>
      </w:r>
    </w:p>
    <w:tbl>
      <w:tblPr>
        <w:tblStyle w:val="8"/>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5"/>
        <w:gridCol w:w="1134"/>
        <w:gridCol w:w="6271"/>
      </w:tblGrid>
      <w:tr w14:paraId="702F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654" w:type="pct"/>
            <w:shd w:val="clear" w:color="auto" w:fill="E6E6E6"/>
            <w:noWrap w:val="0"/>
            <w:vAlign w:val="center"/>
          </w:tcPr>
          <w:p w14:paraId="7357E89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一级模块</w:t>
            </w:r>
          </w:p>
        </w:tc>
        <w:tc>
          <w:tcPr>
            <w:tcW w:w="665" w:type="pct"/>
            <w:shd w:val="clear" w:color="auto" w:fill="E6E6E6"/>
            <w:noWrap w:val="0"/>
            <w:vAlign w:val="center"/>
          </w:tcPr>
          <w:p w14:paraId="5DDDE2F1">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二级模块</w:t>
            </w:r>
          </w:p>
        </w:tc>
        <w:tc>
          <w:tcPr>
            <w:tcW w:w="3679" w:type="pct"/>
            <w:shd w:val="clear" w:color="auto" w:fill="E6E6E6"/>
            <w:noWrap w:val="0"/>
            <w:vAlign w:val="center"/>
          </w:tcPr>
          <w:p w14:paraId="62C6E7C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实验项目名称</w:t>
            </w:r>
          </w:p>
        </w:tc>
      </w:tr>
      <w:tr w14:paraId="31C23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restart"/>
            <w:noWrap w:val="0"/>
            <w:vAlign w:val="center"/>
          </w:tcPr>
          <w:p w14:paraId="12B4FDB9">
            <w:pPr>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val="en-US" w:eastAsia="zh-CN" w:bidi="ar"/>
              </w:rPr>
              <w:t>AI+实证分析</w:t>
            </w:r>
          </w:p>
          <w:p w14:paraId="7364B45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restart"/>
            <w:noWrap w:val="0"/>
            <w:vAlign w:val="center"/>
          </w:tcPr>
          <w:p w14:paraId="57758DC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3679" w:type="pct"/>
            <w:noWrap w:val="0"/>
            <w:vAlign w:val="center"/>
          </w:tcPr>
          <w:p w14:paraId="05EF6AA1">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准备论文数据</w:t>
            </w:r>
          </w:p>
        </w:tc>
      </w:tr>
      <w:tr w14:paraId="7EA16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49AA6CBE">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29AC6243">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20DADFF2">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打开并登录AI科研平台</w:t>
            </w:r>
          </w:p>
        </w:tc>
      </w:tr>
      <w:tr w14:paraId="57A0E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19E2B2C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5F198EE9">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00FEC9F9">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进入实证分析</w:t>
            </w:r>
          </w:p>
        </w:tc>
      </w:tr>
      <w:tr w14:paraId="540BB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563FE76E">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restart"/>
            <w:noWrap w:val="0"/>
            <w:vAlign w:val="center"/>
          </w:tcPr>
          <w:p w14:paraId="089799B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实验实施步骤</w:t>
            </w:r>
          </w:p>
        </w:tc>
        <w:tc>
          <w:tcPr>
            <w:tcW w:w="3679" w:type="pct"/>
            <w:noWrap w:val="0"/>
            <w:vAlign w:val="center"/>
          </w:tcPr>
          <w:p w14:paraId="67C46ED7">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分析此论文实证部分的变量设置、模型以及检验，并基于此生成可行的stata代码</w:t>
            </w:r>
          </w:p>
        </w:tc>
      </w:tr>
      <w:tr w14:paraId="5E2D0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6654260D">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0BE92AF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293B644B">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根据研究主题、变量、数据特征、计量模型，自动匹配合适的稳健性检验方法</w:t>
            </w:r>
          </w:p>
        </w:tc>
      </w:tr>
      <w:tr w14:paraId="737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755C8992">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48F26D6D">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4118E68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匹配</w:t>
            </w:r>
            <w:r>
              <w:rPr>
                <w:rFonts w:hint="eastAsia" w:ascii="宋体" w:hAnsi="宋体" w:eastAsia="宋体" w:cs="宋体"/>
                <w:i w:val="0"/>
                <w:iCs w:val="0"/>
                <w:caps w:val="0"/>
                <w:spacing w:val="0"/>
                <w:sz w:val="21"/>
                <w:szCs w:val="21"/>
                <w:shd w:val="clear" w:fill="FFFFFF"/>
              </w:rPr>
              <w:t>合适的工具变量以及构建工具变量的方法</w:t>
            </w:r>
          </w:p>
        </w:tc>
      </w:tr>
      <w:tr w14:paraId="2C4E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34E8C8CD">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23436150">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627404C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i w:val="0"/>
                <w:iCs w:val="0"/>
                <w:caps w:val="0"/>
                <w:spacing w:val="0"/>
                <w:sz w:val="21"/>
                <w:szCs w:val="21"/>
                <w:shd w:val="clear" w:fill="FFFFFF"/>
              </w:rPr>
              <w:t>针对研究主题与数据特征（如面板结构、时间跨度、样本量），系统比较适用于该情境的潜在模型（如固定效应、随机效应、动态面板GMM模型等）</w:t>
            </w:r>
          </w:p>
        </w:tc>
      </w:tr>
      <w:tr w14:paraId="1AC7B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58336C9C">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6D3EE693">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7118AC7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i w:val="0"/>
                <w:iCs w:val="0"/>
                <w:caps w:val="0"/>
                <w:spacing w:val="0"/>
                <w:sz w:val="21"/>
                <w:szCs w:val="21"/>
                <w:shd w:val="clear" w:fill="FFFFFF"/>
                <w:lang w:val="en-US" w:eastAsia="zh-CN"/>
              </w:rPr>
              <w:t>自动</w:t>
            </w:r>
            <w:r>
              <w:rPr>
                <w:rFonts w:hint="eastAsia" w:ascii="宋体" w:hAnsi="宋体" w:eastAsia="宋体" w:cs="宋体"/>
                <w:i w:val="0"/>
                <w:iCs w:val="0"/>
                <w:caps w:val="0"/>
                <w:spacing w:val="0"/>
                <w:sz w:val="21"/>
                <w:szCs w:val="21"/>
                <w:shd w:val="clear" w:fill="FFFFFF"/>
              </w:rPr>
              <w:t>识别研究的核心解释变量可能面临的内生性来源（如反向因果、遗漏变量、测量误差），并为每种来源匹配一种主流解决方案（如工具变量法、双重差分DID、滞后项控制、PSM、固定效应）</w:t>
            </w:r>
          </w:p>
        </w:tc>
      </w:tr>
      <w:tr w14:paraId="6B389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02F9113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54736D86">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031D21CD">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i w:val="0"/>
                <w:iCs w:val="0"/>
                <w:caps w:val="0"/>
                <w:spacing w:val="0"/>
                <w:sz w:val="21"/>
                <w:szCs w:val="21"/>
                <w:shd w:val="clear" w:fill="FFFFFF"/>
              </w:rPr>
              <w:t>基于研究主题，建议具有理论或政策意义的异质性分组维度（如产权性质、区域发展水平、行业技术密集度、企业生命周期），并说明每个维度为何可能调节主效应。</w:t>
            </w:r>
          </w:p>
        </w:tc>
      </w:tr>
      <w:tr w14:paraId="3489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5F64FE15">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7201C7AD">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3679" w:type="pct"/>
            <w:noWrap w:val="0"/>
            <w:vAlign w:val="center"/>
          </w:tcPr>
          <w:p w14:paraId="3A45202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将实证结果整合为一条连贯的“学术叙事线”，生成一段可用于“实证结果”章节的引导性段落。</w:t>
            </w:r>
          </w:p>
        </w:tc>
      </w:tr>
      <w:tr w14:paraId="74DF1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5FF5A46D">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restart"/>
            <w:noWrap w:val="0"/>
            <w:vAlign w:val="center"/>
          </w:tcPr>
          <w:p w14:paraId="60F9DA3F">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实验总结</w:t>
            </w:r>
          </w:p>
        </w:tc>
        <w:tc>
          <w:tcPr>
            <w:tcW w:w="3679" w:type="pct"/>
            <w:noWrap w:val="0"/>
            <w:vAlign w:val="center"/>
          </w:tcPr>
          <w:p w14:paraId="7A03DB38">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总结实证分析的过程</w:t>
            </w:r>
          </w:p>
        </w:tc>
      </w:tr>
      <w:tr w14:paraId="7F13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654" w:type="pct"/>
            <w:vMerge w:val="continue"/>
            <w:noWrap w:val="0"/>
            <w:vAlign w:val="center"/>
          </w:tcPr>
          <w:p w14:paraId="0F534D8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444F1C68">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3679" w:type="pct"/>
            <w:noWrap w:val="0"/>
            <w:vAlign w:val="center"/>
          </w:tcPr>
          <w:p w14:paraId="78F3A03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lang w:val="en-US" w:eastAsia="zh-CN"/>
              </w:rPr>
              <w:t>总结稳健性检验方法</w:t>
            </w:r>
          </w:p>
        </w:tc>
      </w:tr>
      <w:tr w14:paraId="5D1C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4" w:type="pct"/>
            <w:vMerge w:val="continue"/>
            <w:noWrap w:val="0"/>
            <w:vAlign w:val="center"/>
          </w:tcPr>
          <w:p w14:paraId="21D453A8">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29F2640A">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3679" w:type="pct"/>
            <w:noWrap w:val="0"/>
            <w:vAlign w:val="center"/>
          </w:tcPr>
          <w:p w14:paraId="452A1FB2">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spacing w:val="10"/>
                <w:kern w:val="2"/>
                <w:sz w:val="21"/>
                <w:szCs w:val="21"/>
                <w:lang w:val="en-US" w:eastAsia="zh-CN" w:bidi="ar"/>
              </w:rPr>
            </w:pPr>
            <w:r>
              <w:rPr>
                <w:rFonts w:hint="eastAsia" w:ascii="宋体" w:hAnsi="宋体" w:eastAsia="宋体" w:cs="宋体"/>
                <w:spacing w:val="10"/>
                <w:sz w:val="21"/>
                <w:szCs w:val="21"/>
                <w:lang w:val="en-US" w:eastAsia="zh-CN"/>
              </w:rPr>
              <w:t>总结主题与数据特征及潜在模型</w:t>
            </w:r>
          </w:p>
        </w:tc>
      </w:tr>
      <w:tr w14:paraId="7F839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4" w:type="pct"/>
            <w:vMerge w:val="continue"/>
            <w:noWrap w:val="0"/>
            <w:vAlign w:val="center"/>
          </w:tcPr>
          <w:p w14:paraId="204DFA42">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665" w:type="pct"/>
            <w:vMerge w:val="continue"/>
            <w:noWrap w:val="0"/>
            <w:vAlign w:val="center"/>
          </w:tcPr>
          <w:p w14:paraId="177BAAAB">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3679" w:type="pct"/>
            <w:noWrap w:val="0"/>
            <w:vAlign w:val="center"/>
          </w:tcPr>
          <w:p w14:paraId="016066B4">
            <w:pPr>
              <w:pStyle w:val="4"/>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lang w:val="en-US" w:eastAsia="zh-CN"/>
              </w:rPr>
            </w:pPr>
            <w:r>
              <w:rPr>
                <w:rFonts w:hint="eastAsia" w:ascii="宋体" w:hAnsi="宋体" w:eastAsia="宋体" w:cs="宋体"/>
                <w:spacing w:val="10"/>
                <w:sz w:val="21"/>
                <w:szCs w:val="21"/>
                <w:lang w:val="en-US" w:eastAsia="zh-CN"/>
              </w:rPr>
              <w:t>完成论文的实证分析</w:t>
            </w:r>
          </w:p>
        </w:tc>
      </w:tr>
    </w:tbl>
    <w:p w14:paraId="7DECA511">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rPr>
        <w:t>★</w:t>
      </w:r>
      <w:r>
        <w:rPr>
          <w:rFonts w:hint="eastAsia" w:ascii="宋体" w:hAnsi="宋体" w:eastAsia="宋体" w:cs="宋体"/>
          <w:b/>
          <w:bCs/>
          <w:sz w:val="21"/>
          <w:szCs w:val="21"/>
          <w:lang w:val="en-US" w:eastAsia="zh-CN"/>
        </w:rPr>
        <w:fldChar w:fldCharType="begin"/>
      </w:r>
      <w:r>
        <w:rPr>
          <w:rFonts w:hint="eastAsia" w:ascii="宋体" w:hAnsi="宋体" w:eastAsia="宋体" w:cs="宋体"/>
          <w:b/>
          <w:bCs/>
          <w:sz w:val="21"/>
          <w:szCs w:val="21"/>
          <w:lang w:val="en-US" w:eastAsia="zh-CN"/>
        </w:rPr>
        <w:instrText xml:space="preserve"> HYPERLINK \l _Toc18820 </w:instrText>
      </w:r>
      <w:r>
        <w:rPr>
          <w:rFonts w:hint="eastAsia" w:ascii="宋体" w:hAnsi="宋体" w:eastAsia="宋体" w:cs="宋体"/>
          <w:b/>
          <w:bCs/>
          <w:sz w:val="21"/>
          <w:szCs w:val="21"/>
          <w:lang w:val="en-US" w:eastAsia="zh-CN"/>
        </w:rPr>
        <w:fldChar w:fldCharType="separate"/>
      </w:r>
      <w:r>
        <w:rPr>
          <w:rFonts w:hint="eastAsia" w:ascii="宋体" w:hAnsi="宋体" w:eastAsia="宋体" w:cs="宋体"/>
          <w:b/>
          <w:bCs/>
          <w:sz w:val="21"/>
          <w:szCs w:val="21"/>
          <w:lang w:val="en-US" w:eastAsia="zh-CN"/>
        </w:rPr>
        <w:t>双重差分模型（腾笼换鸟的房价效应：以老工业区搬迁改造为例）</w:t>
      </w:r>
      <w:r>
        <w:rPr>
          <w:rFonts w:hint="eastAsia" w:ascii="宋体" w:hAnsi="宋体" w:eastAsia="宋体" w:cs="宋体"/>
          <w:b/>
          <w:bCs/>
          <w:sz w:val="21"/>
          <w:szCs w:val="21"/>
          <w:lang w:val="en-US" w:eastAsia="zh-CN"/>
        </w:rPr>
        <w:fldChar w:fldCharType="end"/>
      </w:r>
      <w:r>
        <w:rPr>
          <w:rFonts w:hint="eastAsia" w:ascii="宋体" w:hAnsi="宋体" w:eastAsia="宋体" w:cs="宋体"/>
          <w:b/>
          <w:bCs/>
          <w:sz w:val="21"/>
          <w:szCs w:val="21"/>
          <w:lang w:val="en-US" w:eastAsia="zh-CN"/>
        </w:rPr>
        <w:t>：</w:t>
      </w:r>
    </w:p>
    <w:p w14:paraId="7AEB3A9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以顶刊论文为操作案例复现，高效掌握双重差分模型建模技巧与论文写作技巧。</w:t>
      </w:r>
    </w:p>
    <w:p w14:paraId="586C57C2">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firstLine="360"/>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4  双重差分模型（腾笼换鸟的房价效应：以老工业区搬迁改造为例）</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30B53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blHeader/>
          <w:jc w:val="center"/>
        </w:trPr>
        <w:tc>
          <w:tcPr>
            <w:tcW w:w="1095" w:type="dxa"/>
            <w:shd w:val="clear" w:color="auto" w:fill="E6E6E6"/>
            <w:noWrap w:val="0"/>
            <w:vAlign w:val="center"/>
          </w:tcPr>
          <w:p w14:paraId="66B509B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7990A30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724CBB7">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11B447D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78DAB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95" w:type="dxa"/>
            <w:vMerge w:val="restart"/>
            <w:noWrap w:val="0"/>
            <w:vAlign w:val="center"/>
          </w:tcPr>
          <w:p w14:paraId="64B52C11">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双重差分模型（腾笼换鸟的房价效应：以老工业区搬迁改造为例）</w:t>
            </w:r>
          </w:p>
        </w:tc>
        <w:tc>
          <w:tcPr>
            <w:tcW w:w="1240" w:type="dxa"/>
            <w:vMerge w:val="restart"/>
            <w:noWrap w:val="0"/>
            <w:vAlign w:val="center"/>
          </w:tcPr>
          <w:p w14:paraId="0946853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6A3C342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5E83AA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6A49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35C70E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D9C3F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EA5B4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EFA94C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B7F9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257FC8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CAD1D0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4C6CB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5B1747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E6F2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3B2B53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30FE9F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BBD4C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任务1：基准回归结果</w:t>
            </w:r>
          </w:p>
        </w:tc>
        <w:tc>
          <w:tcPr>
            <w:tcW w:w="1356" w:type="dxa"/>
            <w:vMerge w:val="continue"/>
            <w:noWrap w:val="0"/>
            <w:vAlign w:val="center"/>
          </w:tcPr>
          <w:p w14:paraId="0C9C6B5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2491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2D9D583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A85D37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EE87B7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任务2：房价断点效应实证结果</w:t>
            </w:r>
          </w:p>
        </w:tc>
        <w:tc>
          <w:tcPr>
            <w:tcW w:w="1356" w:type="dxa"/>
            <w:vMerge w:val="continue"/>
            <w:noWrap w:val="0"/>
            <w:vAlign w:val="center"/>
          </w:tcPr>
          <w:p w14:paraId="2CFF296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B3C5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70034F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1AE79B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38F89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任务3：稳健性检验结果</w:t>
            </w:r>
          </w:p>
        </w:tc>
        <w:tc>
          <w:tcPr>
            <w:tcW w:w="1356" w:type="dxa"/>
            <w:vMerge w:val="continue"/>
            <w:noWrap w:val="0"/>
            <w:vAlign w:val="center"/>
          </w:tcPr>
          <w:p w14:paraId="47B97C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BA8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59DF523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C54C41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44D14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任务4：随机抽样结果</w:t>
            </w:r>
          </w:p>
        </w:tc>
        <w:tc>
          <w:tcPr>
            <w:tcW w:w="1356" w:type="dxa"/>
            <w:vMerge w:val="continue"/>
            <w:noWrap w:val="0"/>
            <w:vAlign w:val="center"/>
          </w:tcPr>
          <w:p w14:paraId="6923BF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855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1CD9CD0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20230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44E8F7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任务5：平行趋势检验结果</w:t>
            </w:r>
          </w:p>
        </w:tc>
        <w:tc>
          <w:tcPr>
            <w:tcW w:w="1356" w:type="dxa"/>
            <w:vMerge w:val="continue"/>
            <w:noWrap w:val="0"/>
            <w:vAlign w:val="center"/>
          </w:tcPr>
          <w:p w14:paraId="4FA4D9F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A99D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7307B6E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FEF8B3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A35384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任务6：空间异质性检验结果</w:t>
            </w:r>
          </w:p>
        </w:tc>
        <w:tc>
          <w:tcPr>
            <w:tcW w:w="1356" w:type="dxa"/>
            <w:vMerge w:val="continue"/>
            <w:noWrap w:val="0"/>
            <w:vAlign w:val="center"/>
          </w:tcPr>
          <w:p w14:paraId="2B8308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488A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jc w:val="center"/>
        </w:trPr>
        <w:tc>
          <w:tcPr>
            <w:tcW w:w="1095" w:type="dxa"/>
            <w:vMerge w:val="continue"/>
            <w:noWrap w:val="0"/>
            <w:vAlign w:val="center"/>
          </w:tcPr>
          <w:p w14:paraId="1E7EFA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A602D1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9F1F77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任务7：潜在机制回归结果</w:t>
            </w:r>
          </w:p>
        </w:tc>
        <w:tc>
          <w:tcPr>
            <w:tcW w:w="1356" w:type="dxa"/>
            <w:vMerge w:val="continue"/>
            <w:noWrap w:val="0"/>
            <w:vAlign w:val="center"/>
          </w:tcPr>
          <w:p w14:paraId="5A5ACD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702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095" w:type="dxa"/>
            <w:vMerge w:val="continue"/>
            <w:noWrap w:val="0"/>
            <w:vAlign w:val="center"/>
          </w:tcPr>
          <w:p w14:paraId="2963F3F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F6157F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8E5989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任务8：房租效应、挂牌价格变化实证结果</w:t>
            </w:r>
          </w:p>
        </w:tc>
        <w:tc>
          <w:tcPr>
            <w:tcW w:w="1356" w:type="dxa"/>
            <w:vMerge w:val="continue"/>
            <w:noWrap w:val="0"/>
            <w:vAlign w:val="center"/>
          </w:tcPr>
          <w:p w14:paraId="00D285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6D3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095" w:type="dxa"/>
            <w:vMerge w:val="continue"/>
            <w:noWrap w:val="0"/>
            <w:vAlign w:val="center"/>
          </w:tcPr>
          <w:p w14:paraId="0386CA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c>
          <w:tcPr>
            <w:tcW w:w="1240" w:type="dxa"/>
            <w:vMerge w:val="continue"/>
            <w:noWrap w:val="0"/>
            <w:vAlign w:val="center"/>
          </w:tcPr>
          <w:p w14:paraId="0185E77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rPr>
            </w:pPr>
          </w:p>
        </w:tc>
        <w:tc>
          <w:tcPr>
            <w:tcW w:w="5058" w:type="dxa"/>
            <w:noWrap w:val="0"/>
            <w:vAlign w:val="center"/>
          </w:tcPr>
          <w:p w14:paraId="074448B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任务9：附录</w:t>
            </w:r>
          </w:p>
        </w:tc>
        <w:tc>
          <w:tcPr>
            <w:tcW w:w="1356" w:type="dxa"/>
            <w:vMerge w:val="continue"/>
            <w:noWrap w:val="0"/>
            <w:vAlign w:val="center"/>
          </w:tcPr>
          <w:p w14:paraId="4FC5B0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18"/>
                <w:szCs w:val="18"/>
              </w:rPr>
            </w:pPr>
          </w:p>
        </w:tc>
      </w:tr>
    </w:tbl>
    <w:p w14:paraId="72FAB6D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_Toc26033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渐进双重差分模型（制度创新、营商环境与城市创业活力——来自中国自由贸易试验区的证据）</w:t>
      </w:r>
      <w:r>
        <w:rPr>
          <w:rFonts w:hint="eastAsia" w:ascii="宋体" w:hAnsi="宋体" w:eastAsia="宋体" w:cs="宋体"/>
          <w:b/>
          <w:bCs/>
          <w:sz w:val="24"/>
          <w:lang w:val="en-US" w:eastAsia="zh-CN"/>
        </w:rPr>
        <w:fldChar w:fldCharType="end"/>
      </w:r>
    </w:p>
    <w:p w14:paraId="27877FFF">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以顶刊论文为操作案例复现，高效掌握渐进双重差分模型建模技巧与论文写作技巧。</w:t>
      </w:r>
    </w:p>
    <w:p w14:paraId="197E8B1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5</w:t>
      </w:r>
      <w:r>
        <w:rPr>
          <w:rFonts w:hint="eastAsia" w:ascii="宋体" w:hAnsi="宋体" w:eastAsia="宋体" w:cs="宋体"/>
          <w:sz w:val="21"/>
          <w:szCs w:val="21"/>
          <w:lang w:bidi="ar"/>
        </w:rPr>
        <w:t xml:space="preserve"> 渐进双重差分模型（制度创新、营商环境与城市创业活力——来自中国自由贸易试验区的证据）</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45843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3B451087">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4BD975C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045DD5C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495ACB9F">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24F15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2D0AEF6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渐进双重差分模型（制度创新、营商环境与城市创业活力—来自中国自由贸易试验区的证据）</w:t>
            </w:r>
          </w:p>
        </w:tc>
        <w:tc>
          <w:tcPr>
            <w:tcW w:w="1240" w:type="dxa"/>
            <w:vMerge w:val="restart"/>
            <w:noWrap w:val="0"/>
            <w:vAlign w:val="center"/>
          </w:tcPr>
          <w:p w14:paraId="7C2D8A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1976110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046235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23E55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B993CF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D30DA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66B284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345C760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3D837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95" w:type="dxa"/>
            <w:vMerge w:val="continue"/>
            <w:noWrap w:val="0"/>
            <w:vAlign w:val="center"/>
          </w:tcPr>
          <w:p w14:paraId="0909B8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3F3093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EEC247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6FDFA6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7BE76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FBD5B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9A9F62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3C2A01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研究设计</w:t>
            </w:r>
          </w:p>
        </w:tc>
        <w:tc>
          <w:tcPr>
            <w:tcW w:w="1356" w:type="dxa"/>
            <w:vMerge w:val="continue"/>
            <w:noWrap w:val="0"/>
            <w:vAlign w:val="center"/>
          </w:tcPr>
          <w:p w14:paraId="6D7E69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77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CD13C5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AAA39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66F1A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房价断点效应实证结果</w:t>
            </w:r>
          </w:p>
        </w:tc>
        <w:tc>
          <w:tcPr>
            <w:tcW w:w="1356" w:type="dxa"/>
            <w:vMerge w:val="continue"/>
            <w:noWrap w:val="0"/>
            <w:vAlign w:val="center"/>
          </w:tcPr>
          <w:p w14:paraId="41A6B4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5A11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62B79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165747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D5078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实证方法—DIDM方法适用的问题类型</w:t>
            </w:r>
          </w:p>
        </w:tc>
        <w:tc>
          <w:tcPr>
            <w:tcW w:w="1356" w:type="dxa"/>
            <w:vMerge w:val="continue"/>
            <w:noWrap w:val="0"/>
            <w:vAlign w:val="center"/>
          </w:tcPr>
          <w:p w14:paraId="799336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3EC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5BCA7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56209A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31EF51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实证方法—DIDM方法的优点</w:t>
            </w:r>
          </w:p>
        </w:tc>
        <w:tc>
          <w:tcPr>
            <w:tcW w:w="1356" w:type="dxa"/>
            <w:vMerge w:val="continue"/>
            <w:noWrap w:val="0"/>
            <w:vAlign w:val="center"/>
          </w:tcPr>
          <w:p w14:paraId="1B8CD0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F50F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7C6FA9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55208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B42DE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实证方法—是否满足DIDM方法的前提假设？</w:t>
            </w:r>
          </w:p>
        </w:tc>
        <w:tc>
          <w:tcPr>
            <w:tcW w:w="1356" w:type="dxa"/>
            <w:vMerge w:val="continue"/>
            <w:noWrap w:val="0"/>
            <w:vAlign w:val="center"/>
          </w:tcPr>
          <w:p w14:paraId="6207587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30D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F02D2D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914D1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EF0CE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实证结果分析—DIDM方法应做哪些稳健性检验</w:t>
            </w:r>
          </w:p>
        </w:tc>
        <w:tc>
          <w:tcPr>
            <w:tcW w:w="1356" w:type="dxa"/>
            <w:vMerge w:val="continue"/>
            <w:noWrap w:val="0"/>
            <w:vAlign w:val="center"/>
          </w:tcPr>
          <w:p w14:paraId="7181661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414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EE46CF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878268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2B648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实证结果分析—调节效应回归</w:t>
            </w:r>
          </w:p>
        </w:tc>
        <w:tc>
          <w:tcPr>
            <w:tcW w:w="1356" w:type="dxa"/>
            <w:vMerge w:val="continue"/>
            <w:noWrap w:val="0"/>
            <w:vAlign w:val="center"/>
          </w:tcPr>
          <w:p w14:paraId="3909406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619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78DB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2FABE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ED63C2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实证结果分析—机制分析回归</w:t>
            </w:r>
          </w:p>
        </w:tc>
        <w:tc>
          <w:tcPr>
            <w:tcW w:w="1356" w:type="dxa"/>
            <w:vMerge w:val="continue"/>
            <w:noWrap w:val="0"/>
            <w:vAlign w:val="center"/>
          </w:tcPr>
          <w:p w14:paraId="1145F5A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7EE5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92E33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FCC48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D3D433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异质性分析</w:t>
            </w:r>
          </w:p>
        </w:tc>
        <w:tc>
          <w:tcPr>
            <w:tcW w:w="1356" w:type="dxa"/>
            <w:vMerge w:val="continue"/>
            <w:noWrap w:val="0"/>
            <w:vAlign w:val="center"/>
          </w:tcPr>
          <w:p w14:paraId="44751C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5695A45C">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_Toc2513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双向固定效应模型（数字化转型如何影响劳动技能溢价——基于A股上市公司数据的经验研究）</w:t>
      </w:r>
      <w:r>
        <w:rPr>
          <w:rFonts w:hint="eastAsia" w:ascii="宋体" w:hAnsi="宋体" w:eastAsia="宋体" w:cs="宋体"/>
          <w:b/>
          <w:bCs/>
          <w:sz w:val="24"/>
          <w:lang w:val="en-US" w:eastAsia="zh-CN"/>
        </w:rPr>
        <w:fldChar w:fldCharType="end"/>
      </w:r>
    </w:p>
    <w:p w14:paraId="425943FA">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以顶刊论文为操作案例复现，高效掌握双向固定效应模型建模技巧与论文写作技巧。</w:t>
      </w:r>
    </w:p>
    <w:p w14:paraId="4855E39C">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6</w:t>
      </w:r>
      <w:r>
        <w:rPr>
          <w:rFonts w:hint="eastAsia" w:ascii="宋体" w:hAnsi="宋体" w:eastAsia="宋体" w:cs="宋体"/>
          <w:sz w:val="21"/>
          <w:szCs w:val="21"/>
          <w:lang w:bidi="ar"/>
        </w:rPr>
        <w:t xml:space="preserve"> 双向固定效应模型（数字化转型如何影响劳动技能溢价—基于A股上市公司数据的经验研究）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52FE1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533E52CC">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29180F98">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33231CC">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92C81F8">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4BE9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4CEA77A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0F1C043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t>双向固定效应模型（数字化转型如何影响劳动技能溢价—基于A股上市公司数据的经验研究）</w:t>
            </w:r>
          </w:p>
        </w:tc>
        <w:tc>
          <w:tcPr>
            <w:tcW w:w="1240" w:type="dxa"/>
            <w:vMerge w:val="restart"/>
            <w:noWrap w:val="0"/>
            <w:vAlign w:val="center"/>
          </w:tcPr>
          <w:p w14:paraId="43C6F3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09FBEA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782CAB5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1356C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B6AB5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AEF41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383588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6CE5375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7938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1AF29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54DA7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E7948F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544D2E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AB7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C28D9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4CEB62B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实施</w:t>
            </w:r>
            <w:r>
              <w:rPr>
                <w:rFonts w:hint="eastAsia" w:ascii="宋体" w:hAnsi="宋体" w:eastAsia="宋体" w:cs="宋体"/>
                <w:sz w:val="21"/>
                <w:szCs w:val="21"/>
                <w:lang w:val="en-US" w:eastAsia="zh-CN"/>
              </w:rPr>
              <w:t>步骤</w:t>
            </w:r>
          </w:p>
        </w:tc>
        <w:tc>
          <w:tcPr>
            <w:tcW w:w="5058" w:type="dxa"/>
            <w:noWrap w:val="0"/>
            <w:vAlign w:val="center"/>
          </w:tcPr>
          <w:p w14:paraId="2794010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任务1：劳动技能溢价变动趋势</w:t>
            </w:r>
          </w:p>
        </w:tc>
        <w:tc>
          <w:tcPr>
            <w:tcW w:w="1356" w:type="dxa"/>
            <w:vMerge w:val="continue"/>
            <w:noWrap w:val="0"/>
            <w:vAlign w:val="center"/>
          </w:tcPr>
          <w:p w14:paraId="18706B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6311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F31D3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4B512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4A21C3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任务2：要素密集型行业技能溢价的变动趋势</w:t>
            </w:r>
          </w:p>
        </w:tc>
        <w:tc>
          <w:tcPr>
            <w:tcW w:w="1356" w:type="dxa"/>
            <w:vMerge w:val="continue"/>
            <w:noWrap w:val="0"/>
            <w:vAlign w:val="center"/>
          </w:tcPr>
          <w:p w14:paraId="51067BC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D44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B90C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7651E2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26C327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基本回归结果</w:t>
            </w:r>
          </w:p>
        </w:tc>
        <w:tc>
          <w:tcPr>
            <w:tcW w:w="1356" w:type="dxa"/>
            <w:vMerge w:val="continue"/>
            <w:noWrap w:val="0"/>
            <w:vAlign w:val="center"/>
          </w:tcPr>
          <w:p w14:paraId="6FA33FE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E15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C97C7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44664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BF439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任务4：工具变量回归结果</w:t>
            </w:r>
          </w:p>
        </w:tc>
        <w:tc>
          <w:tcPr>
            <w:tcW w:w="1356" w:type="dxa"/>
            <w:vMerge w:val="continue"/>
            <w:noWrap w:val="0"/>
            <w:vAlign w:val="center"/>
          </w:tcPr>
          <w:p w14:paraId="7822C3F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E3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72CC9A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B649DB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F96D1B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任务5：异质性分析回归结果</w:t>
            </w:r>
          </w:p>
        </w:tc>
        <w:tc>
          <w:tcPr>
            <w:tcW w:w="1356" w:type="dxa"/>
            <w:vMerge w:val="continue"/>
            <w:noWrap w:val="0"/>
            <w:vAlign w:val="center"/>
          </w:tcPr>
          <w:p w14:paraId="54B829A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90D1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2D7D6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758D1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C521B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任务6：机制检验回归结果</w:t>
            </w:r>
          </w:p>
        </w:tc>
        <w:tc>
          <w:tcPr>
            <w:tcW w:w="1356" w:type="dxa"/>
            <w:vMerge w:val="continue"/>
            <w:noWrap w:val="0"/>
            <w:vAlign w:val="center"/>
          </w:tcPr>
          <w:p w14:paraId="61C921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8A31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5D193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C38737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89EEA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任务7：“技能挤出”效应检验回归结果</w:t>
            </w:r>
          </w:p>
        </w:tc>
        <w:tc>
          <w:tcPr>
            <w:tcW w:w="1356" w:type="dxa"/>
            <w:vMerge w:val="continue"/>
            <w:noWrap w:val="0"/>
            <w:vAlign w:val="center"/>
          </w:tcPr>
          <w:p w14:paraId="1D55FC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2215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D140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409BF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06CC7D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任务8：资本—技能互补性的回归结果</w:t>
            </w:r>
          </w:p>
        </w:tc>
        <w:tc>
          <w:tcPr>
            <w:tcW w:w="1356" w:type="dxa"/>
            <w:vMerge w:val="continue"/>
            <w:noWrap w:val="0"/>
            <w:vAlign w:val="center"/>
          </w:tcPr>
          <w:p w14:paraId="3D4BD0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013A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6FF359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ACAC75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CDD8AC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任务9：主要变量描述性统计</w:t>
            </w:r>
          </w:p>
        </w:tc>
        <w:tc>
          <w:tcPr>
            <w:tcW w:w="1356" w:type="dxa"/>
            <w:vMerge w:val="continue"/>
            <w:noWrap w:val="0"/>
            <w:vAlign w:val="center"/>
          </w:tcPr>
          <w:p w14:paraId="3B5ED44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9AF9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9EE36F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DB75F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CCB7AA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任务10：利用可观测变量评估未观测变量的偏差程度</w:t>
            </w:r>
          </w:p>
        </w:tc>
        <w:tc>
          <w:tcPr>
            <w:tcW w:w="1356" w:type="dxa"/>
            <w:vMerge w:val="continue"/>
            <w:noWrap w:val="0"/>
            <w:vAlign w:val="center"/>
          </w:tcPr>
          <w:p w14:paraId="5A9F5BC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D93C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1474E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DACCEF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60EE3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任务11：更换估计方法回归结果</w:t>
            </w:r>
          </w:p>
        </w:tc>
        <w:tc>
          <w:tcPr>
            <w:tcW w:w="1356" w:type="dxa"/>
            <w:vMerge w:val="continue"/>
            <w:noWrap w:val="0"/>
            <w:vAlign w:val="center"/>
          </w:tcPr>
          <w:p w14:paraId="769AC93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0F7D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7B085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8B450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ADBE9D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任务12：更换核心变量回归结果</w:t>
            </w:r>
          </w:p>
        </w:tc>
        <w:tc>
          <w:tcPr>
            <w:tcW w:w="1356" w:type="dxa"/>
            <w:vMerge w:val="continue"/>
            <w:noWrap w:val="0"/>
            <w:vAlign w:val="center"/>
          </w:tcPr>
          <w:p w14:paraId="45DC696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B24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6DCEB4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A6B38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CE2B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任务13：排除其他政策性干扰回归结果</w:t>
            </w:r>
          </w:p>
        </w:tc>
        <w:tc>
          <w:tcPr>
            <w:tcW w:w="1356" w:type="dxa"/>
            <w:vMerge w:val="continue"/>
            <w:noWrap w:val="0"/>
            <w:vAlign w:val="center"/>
          </w:tcPr>
          <w:p w14:paraId="1596429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B5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DBB16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01B8E7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9986CD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任务14：排除企业夸大性信息披露影响回归结果</w:t>
            </w:r>
          </w:p>
        </w:tc>
        <w:tc>
          <w:tcPr>
            <w:tcW w:w="1356" w:type="dxa"/>
            <w:vMerge w:val="continue"/>
            <w:noWrap w:val="0"/>
            <w:vAlign w:val="center"/>
          </w:tcPr>
          <w:p w14:paraId="3953F5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70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D8F94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EDAB94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13D2C2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任务15：数字化关键词均值统计</w:t>
            </w:r>
          </w:p>
        </w:tc>
        <w:tc>
          <w:tcPr>
            <w:tcW w:w="1356" w:type="dxa"/>
            <w:vMerge w:val="continue"/>
            <w:noWrap w:val="0"/>
            <w:vAlign w:val="center"/>
          </w:tcPr>
          <w:p w14:paraId="544C14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3694CE3">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_Toc13532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β收敛模型（共同富裕的测度与驱动机制研究）</w:t>
      </w:r>
      <w:r>
        <w:rPr>
          <w:rFonts w:hint="eastAsia" w:ascii="宋体" w:hAnsi="宋体" w:eastAsia="宋体" w:cs="宋体"/>
          <w:b/>
          <w:bCs/>
          <w:sz w:val="24"/>
          <w:lang w:val="en-US" w:eastAsia="zh-CN"/>
        </w:rPr>
        <w:fldChar w:fldCharType="end"/>
      </w:r>
    </w:p>
    <w:p w14:paraId="33A20797">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以顶刊论文为操作案例复现，高效掌握β收敛模型建模技巧与论文写作技巧。</w:t>
      </w:r>
    </w:p>
    <w:p w14:paraId="7815C3B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7</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β收敛模型（共同富裕的测度与驱动机制研究）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3D37F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46DDE619">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385AB2EE">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6DCA53B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6543F7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304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03FF2FE1">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β收敛模型（共同富裕的测度与驱动机制研究）</w:t>
            </w:r>
          </w:p>
          <w:p w14:paraId="7B11782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7E93C21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55E3098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2FF9A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63D5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352D2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9F441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3790EC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05DD8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47C0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7CDE36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1C93B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7056A8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2E94764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951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FE3E1B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610AE1F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0F92C45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任务1：各类收入β收敛检验结果</w:t>
            </w:r>
          </w:p>
        </w:tc>
        <w:tc>
          <w:tcPr>
            <w:tcW w:w="1356" w:type="dxa"/>
            <w:vMerge w:val="continue"/>
            <w:noWrap w:val="0"/>
            <w:vAlign w:val="center"/>
          </w:tcPr>
          <w:p w14:paraId="3CA8F7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5D8B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48CB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83D3A8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70CB68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任务2：各类基尼系数β收敛检验结果</w:t>
            </w:r>
          </w:p>
        </w:tc>
        <w:tc>
          <w:tcPr>
            <w:tcW w:w="1356" w:type="dxa"/>
            <w:vMerge w:val="continue"/>
            <w:noWrap w:val="0"/>
            <w:vAlign w:val="center"/>
          </w:tcPr>
          <w:p w14:paraId="244DF9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F3A7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8F3E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6040E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79B81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各类收入分阶段条件β收敛</w:t>
            </w:r>
          </w:p>
        </w:tc>
        <w:tc>
          <w:tcPr>
            <w:tcW w:w="1356" w:type="dxa"/>
            <w:vMerge w:val="continue"/>
            <w:noWrap w:val="0"/>
            <w:vAlign w:val="center"/>
          </w:tcPr>
          <w:p w14:paraId="0CC68E9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E1B4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FACA56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555DB1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C3DE99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稳健性检验：地级市层面－各类收入β收敛检验结果</w:t>
            </w:r>
          </w:p>
        </w:tc>
        <w:tc>
          <w:tcPr>
            <w:tcW w:w="1356" w:type="dxa"/>
            <w:vMerge w:val="continue"/>
            <w:noWrap w:val="0"/>
            <w:vAlign w:val="center"/>
          </w:tcPr>
          <w:p w14:paraId="5D08E4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ECBA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F1829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0DD19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13992A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稳健性检验：调整后基尼系数的检验结果</w:t>
            </w:r>
          </w:p>
        </w:tc>
        <w:tc>
          <w:tcPr>
            <w:tcW w:w="1356" w:type="dxa"/>
            <w:vMerge w:val="continue"/>
            <w:noWrap w:val="0"/>
            <w:vAlign w:val="center"/>
          </w:tcPr>
          <w:p w14:paraId="0541A9F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4EC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DA8240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358CD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F4489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任务6：使用CLDS计算的基尼系数的收敛性检验</w:t>
            </w:r>
          </w:p>
        </w:tc>
        <w:tc>
          <w:tcPr>
            <w:tcW w:w="1356" w:type="dxa"/>
            <w:vMerge w:val="continue"/>
            <w:noWrap w:val="0"/>
            <w:vAlign w:val="center"/>
          </w:tcPr>
          <w:p w14:paraId="68B4704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3B3E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5D3D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AA117C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A1C363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任务7：数字普惠金融和传统金融的直接效应</w:t>
            </w:r>
          </w:p>
        </w:tc>
        <w:tc>
          <w:tcPr>
            <w:tcW w:w="1356" w:type="dxa"/>
            <w:vMerge w:val="continue"/>
            <w:noWrap w:val="0"/>
            <w:vAlign w:val="center"/>
          </w:tcPr>
          <w:p w14:paraId="3D6ACC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6497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64DB57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99E716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CC71DA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任务8：条件β收敛检验结果</w:t>
            </w:r>
          </w:p>
        </w:tc>
        <w:tc>
          <w:tcPr>
            <w:tcW w:w="1356" w:type="dxa"/>
            <w:vMerge w:val="continue"/>
            <w:noWrap w:val="0"/>
            <w:vAlign w:val="center"/>
          </w:tcPr>
          <w:p w14:paraId="4E1625F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E649BB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_Toc30008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强度双重差分模型（生产性政府债务与城市创新力—基于中国城市面板数据的经验研究）</w:t>
      </w:r>
      <w:r>
        <w:rPr>
          <w:rFonts w:hint="eastAsia" w:ascii="宋体" w:hAnsi="宋体" w:eastAsia="宋体" w:cs="宋体"/>
          <w:b/>
          <w:bCs/>
          <w:sz w:val="24"/>
          <w:lang w:val="en-US" w:eastAsia="zh-CN"/>
        </w:rPr>
        <w:fldChar w:fldCharType="end"/>
      </w:r>
    </w:p>
    <w:p w14:paraId="5BF0E4C0">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以顶刊论文为操作案例复现，高效掌握强度双重差分模型建模技巧与论文写作技巧。</w:t>
      </w:r>
    </w:p>
    <w:p w14:paraId="3E01B9C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8</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强度双重差分模型（生产性政府债务与城市创新力—基于中国城市面板数据的经验研究）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4FF1D1EA">
        <w:tblPrEx>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7DA63011">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336F2700">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713608F">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6C2ADAF2">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7B3B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028A8A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val="en-US" w:eastAsia="zh-CN" w:bidi="ar"/>
              </w:rPr>
              <w:t>强度双重差分模型（生产性政府债务与城市创新力—基于中国城市面板数据的经验研究）</w:t>
            </w:r>
          </w:p>
        </w:tc>
        <w:tc>
          <w:tcPr>
            <w:tcW w:w="1240" w:type="dxa"/>
            <w:vMerge w:val="restart"/>
            <w:noWrap w:val="0"/>
            <w:vAlign w:val="center"/>
          </w:tcPr>
          <w:p w14:paraId="526CFE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AB634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5A3A82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3C2F8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85A7C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2A4814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C5FA8B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7F66DD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22648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A6B28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950130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20F41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07B5A49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6C9A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DCF30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16A465D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24BD0A1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任务1：生产性地方政府债务与城市创新力</w:t>
            </w:r>
          </w:p>
        </w:tc>
        <w:tc>
          <w:tcPr>
            <w:tcW w:w="1356" w:type="dxa"/>
            <w:vMerge w:val="continue"/>
            <w:noWrap w:val="0"/>
            <w:vAlign w:val="center"/>
          </w:tcPr>
          <w:p w14:paraId="6B206AA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DD8A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4FD3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E33BE7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8942C5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任务2：地方政府债务与城市创新力（IV）</w:t>
            </w:r>
          </w:p>
        </w:tc>
        <w:tc>
          <w:tcPr>
            <w:tcW w:w="1356" w:type="dxa"/>
            <w:vMerge w:val="continue"/>
            <w:noWrap w:val="0"/>
            <w:vAlign w:val="center"/>
          </w:tcPr>
          <w:p w14:paraId="0910AF0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A2BE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9B4FB7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291823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5963A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任务3：机制检验结果</w:t>
            </w:r>
          </w:p>
        </w:tc>
        <w:tc>
          <w:tcPr>
            <w:tcW w:w="1356" w:type="dxa"/>
            <w:vMerge w:val="continue"/>
            <w:noWrap w:val="0"/>
            <w:vAlign w:val="center"/>
          </w:tcPr>
          <w:p w14:paraId="1F7BBB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F1E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A149A4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0CF167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05A00A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任务4：机制检验的进一步分析结果</w:t>
            </w:r>
          </w:p>
        </w:tc>
        <w:tc>
          <w:tcPr>
            <w:tcW w:w="1356" w:type="dxa"/>
            <w:vMerge w:val="continue"/>
            <w:noWrap w:val="0"/>
            <w:vAlign w:val="center"/>
          </w:tcPr>
          <w:p w14:paraId="770129A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2323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DF7F0E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5895E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08773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任务5：生产性地方政府债务对不同区域城市创新力的影响</w:t>
            </w:r>
          </w:p>
        </w:tc>
        <w:tc>
          <w:tcPr>
            <w:tcW w:w="1356" w:type="dxa"/>
            <w:vMerge w:val="continue"/>
            <w:noWrap w:val="0"/>
            <w:vAlign w:val="center"/>
          </w:tcPr>
          <w:p w14:paraId="499722D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92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E8D4AE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F3905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8AD8E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任务6：生产性地方政府债务对城市创新力的影响差异</w:t>
            </w:r>
          </w:p>
        </w:tc>
        <w:tc>
          <w:tcPr>
            <w:tcW w:w="1356" w:type="dxa"/>
            <w:vMerge w:val="continue"/>
            <w:noWrap w:val="0"/>
            <w:vAlign w:val="center"/>
          </w:tcPr>
          <w:p w14:paraId="531E21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5F2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2092F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2F7C09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1A9741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任务7:2006—2014 年主要变量统计描述</w:t>
            </w:r>
          </w:p>
        </w:tc>
        <w:tc>
          <w:tcPr>
            <w:tcW w:w="1356" w:type="dxa"/>
            <w:vMerge w:val="continue"/>
            <w:noWrap w:val="0"/>
            <w:vAlign w:val="center"/>
          </w:tcPr>
          <w:p w14:paraId="5DDE82A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EE52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2F7B33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73CAD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5D2B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b w:val="0"/>
                <w:kern w:val="2"/>
                <w:sz w:val="21"/>
                <w:szCs w:val="21"/>
                <w:lang w:val="en-US" w:eastAsia="zh-CN" w:bidi="ar"/>
              </w:rPr>
              <w:t>任务8：更换核心解释变量</w:t>
            </w:r>
          </w:p>
        </w:tc>
        <w:tc>
          <w:tcPr>
            <w:tcW w:w="1356" w:type="dxa"/>
            <w:vMerge w:val="continue"/>
            <w:noWrap w:val="0"/>
            <w:vAlign w:val="center"/>
          </w:tcPr>
          <w:p w14:paraId="1FB4BDF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50CB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041F9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7EEED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FC1C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任务9：</w:t>
            </w:r>
            <w:r>
              <w:rPr>
                <w:rFonts w:hint="eastAsia" w:ascii="宋体" w:hAnsi="宋体" w:eastAsia="宋体" w:cs="宋体"/>
                <w:sz w:val="21"/>
                <w:szCs w:val="21"/>
                <w:lang w:val="en-US" w:eastAsia="zh-CN"/>
              </w:rPr>
              <w:t>平行趋势检验</w:t>
            </w:r>
          </w:p>
        </w:tc>
        <w:tc>
          <w:tcPr>
            <w:tcW w:w="1356" w:type="dxa"/>
            <w:vMerge w:val="continue"/>
            <w:noWrap w:val="0"/>
            <w:vAlign w:val="center"/>
          </w:tcPr>
          <w:p w14:paraId="639DA8B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C662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9E0EB2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C7E017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E817EA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任务10：</w:t>
            </w:r>
            <w:r>
              <w:rPr>
                <w:rFonts w:hint="eastAsia" w:ascii="宋体" w:hAnsi="宋体" w:eastAsia="宋体" w:cs="宋体"/>
                <w:sz w:val="21"/>
                <w:szCs w:val="21"/>
                <w:lang w:val="en-US" w:eastAsia="zh-CN"/>
              </w:rPr>
              <w:t>随机处理后系数估计值的分布</w:t>
            </w:r>
          </w:p>
        </w:tc>
        <w:tc>
          <w:tcPr>
            <w:tcW w:w="1356" w:type="dxa"/>
            <w:vMerge w:val="continue"/>
            <w:noWrap w:val="0"/>
            <w:vAlign w:val="center"/>
          </w:tcPr>
          <w:p w14:paraId="2BAEB5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011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14D710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AD72D3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53EC23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任务11：</w:t>
            </w:r>
            <w:r>
              <w:rPr>
                <w:rFonts w:hint="eastAsia" w:ascii="宋体" w:hAnsi="宋体" w:eastAsia="宋体" w:cs="宋体"/>
                <w:sz w:val="21"/>
                <w:szCs w:val="21"/>
                <w:lang w:val="en-US" w:eastAsia="zh-CN"/>
              </w:rPr>
              <w:t>排除国家创新型城市的影响</w:t>
            </w:r>
          </w:p>
        </w:tc>
        <w:tc>
          <w:tcPr>
            <w:tcW w:w="1356" w:type="dxa"/>
            <w:vMerge w:val="continue"/>
            <w:noWrap w:val="0"/>
            <w:vAlign w:val="center"/>
          </w:tcPr>
          <w:p w14:paraId="382BC3E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3C84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D5CE7A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436516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73B89F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任务12：</w:t>
            </w:r>
            <w:r>
              <w:rPr>
                <w:rFonts w:hint="eastAsia" w:ascii="宋体" w:hAnsi="宋体" w:eastAsia="宋体" w:cs="宋体"/>
                <w:sz w:val="21"/>
                <w:szCs w:val="21"/>
                <w:lang w:val="en-US" w:eastAsia="zh-CN"/>
              </w:rPr>
              <w:t>更换数据</w:t>
            </w:r>
          </w:p>
        </w:tc>
        <w:tc>
          <w:tcPr>
            <w:tcW w:w="1356" w:type="dxa"/>
            <w:vMerge w:val="continue"/>
            <w:noWrap w:val="0"/>
            <w:vAlign w:val="center"/>
          </w:tcPr>
          <w:p w14:paraId="4B6361E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60E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A0C0A6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731086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910C5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任务13：</w:t>
            </w:r>
            <w:r>
              <w:rPr>
                <w:rFonts w:hint="eastAsia" w:ascii="宋体" w:hAnsi="宋体" w:eastAsia="宋体" w:cs="宋体"/>
                <w:sz w:val="21"/>
                <w:szCs w:val="21"/>
                <w:lang w:val="en-US" w:eastAsia="zh-CN"/>
              </w:rPr>
              <w:t>被解释变量前置一期</w:t>
            </w:r>
          </w:p>
        </w:tc>
        <w:tc>
          <w:tcPr>
            <w:tcW w:w="1356" w:type="dxa"/>
            <w:vMerge w:val="continue"/>
            <w:noWrap w:val="0"/>
            <w:vAlign w:val="center"/>
          </w:tcPr>
          <w:p w14:paraId="3AF606C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2EC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5F5C7D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B091A2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12F5C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任务14：</w:t>
            </w:r>
            <w:r>
              <w:rPr>
                <w:rFonts w:hint="eastAsia" w:ascii="宋体" w:hAnsi="宋体" w:eastAsia="宋体" w:cs="宋体"/>
                <w:sz w:val="21"/>
                <w:szCs w:val="21"/>
                <w:lang w:val="en-US" w:eastAsia="zh-CN"/>
              </w:rPr>
              <w:t>机制分析的稳健性检验（一）</w:t>
            </w:r>
          </w:p>
        </w:tc>
        <w:tc>
          <w:tcPr>
            <w:tcW w:w="1356" w:type="dxa"/>
            <w:vMerge w:val="continue"/>
            <w:noWrap w:val="0"/>
            <w:vAlign w:val="center"/>
          </w:tcPr>
          <w:p w14:paraId="0F06A09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4D6F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C4A1B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9E1170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0B3A2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任务15：</w:t>
            </w:r>
            <w:r>
              <w:rPr>
                <w:rFonts w:hint="eastAsia" w:ascii="宋体" w:hAnsi="宋体" w:eastAsia="宋体" w:cs="宋体"/>
                <w:sz w:val="21"/>
                <w:szCs w:val="21"/>
                <w:lang w:val="en-US" w:eastAsia="zh-CN"/>
              </w:rPr>
              <w:t>机制分析的稳健性检验（二）</w:t>
            </w:r>
          </w:p>
        </w:tc>
        <w:tc>
          <w:tcPr>
            <w:tcW w:w="1356" w:type="dxa"/>
            <w:vMerge w:val="continue"/>
            <w:noWrap w:val="0"/>
            <w:vAlign w:val="center"/>
          </w:tcPr>
          <w:p w14:paraId="693B1B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66FD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537479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D956C3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BB81FB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任务16：</w:t>
            </w:r>
            <w:r>
              <w:rPr>
                <w:rFonts w:hint="eastAsia" w:ascii="宋体" w:hAnsi="宋体" w:eastAsia="宋体" w:cs="宋体"/>
                <w:sz w:val="21"/>
                <w:szCs w:val="21"/>
                <w:lang w:val="en-US" w:eastAsia="zh-CN"/>
              </w:rPr>
              <w:t>机制分析的稳健性检验（三）</w:t>
            </w:r>
          </w:p>
        </w:tc>
        <w:tc>
          <w:tcPr>
            <w:tcW w:w="1356" w:type="dxa"/>
            <w:vMerge w:val="continue"/>
            <w:noWrap w:val="0"/>
            <w:vAlign w:val="center"/>
          </w:tcPr>
          <w:p w14:paraId="2B36B7C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415D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A1753F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67B18C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DC240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任务17：</w:t>
            </w:r>
            <w:r>
              <w:rPr>
                <w:rFonts w:hint="eastAsia" w:ascii="宋体" w:hAnsi="宋体" w:eastAsia="宋体" w:cs="宋体"/>
                <w:sz w:val="21"/>
                <w:szCs w:val="21"/>
                <w:lang w:val="en-US" w:eastAsia="zh-CN"/>
              </w:rPr>
              <w:t>城投债与城市创新力</w:t>
            </w:r>
          </w:p>
        </w:tc>
        <w:tc>
          <w:tcPr>
            <w:tcW w:w="1356" w:type="dxa"/>
            <w:vMerge w:val="continue"/>
            <w:noWrap w:val="0"/>
            <w:vAlign w:val="center"/>
          </w:tcPr>
          <w:p w14:paraId="04AC5F8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745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E2CE1B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CD4030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AA4C56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b w:val="0"/>
                <w:kern w:val="2"/>
                <w:sz w:val="21"/>
                <w:szCs w:val="21"/>
                <w:lang w:val="en-US" w:eastAsia="zh-CN" w:bidi="ar"/>
              </w:rPr>
              <w:t>任务18：</w:t>
            </w:r>
            <w:r>
              <w:rPr>
                <w:rFonts w:hint="eastAsia" w:ascii="宋体" w:hAnsi="宋体" w:eastAsia="宋体" w:cs="宋体"/>
                <w:sz w:val="21"/>
                <w:szCs w:val="21"/>
                <w:lang w:val="en-US" w:eastAsia="zh-CN"/>
              </w:rPr>
              <w:t>地方政府债与城市创新力</w:t>
            </w:r>
          </w:p>
        </w:tc>
        <w:tc>
          <w:tcPr>
            <w:tcW w:w="1356" w:type="dxa"/>
            <w:vMerge w:val="continue"/>
            <w:noWrap w:val="0"/>
            <w:vAlign w:val="center"/>
          </w:tcPr>
          <w:p w14:paraId="058166D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2D3C9EA0">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_Toc26573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面板门槛效应回归模型（“强省会”战略的创新效应研究）</w:t>
      </w:r>
      <w:r>
        <w:rPr>
          <w:rFonts w:hint="eastAsia" w:ascii="宋体" w:hAnsi="宋体" w:eastAsia="宋体" w:cs="宋体"/>
          <w:b/>
          <w:bCs/>
          <w:sz w:val="24"/>
          <w:lang w:val="en-US" w:eastAsia="zh-CN"/>
        </w:rPr>
        <w:fldChar w:fldCharType="end"/>
      </w:r>
    </w:p>
    <w:p w14:paraId="5226167C">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以顶刊论文为操作案例复现，高效掌握面板门槛效应回归模型建模技巧与论文写作技巧。</w:t>
      </w:r>
    </w:p>
    <w:p w14:paraId="0537AF26">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9</w:t>
      </w:r>
      <w:r>
        <w:rPr>
          <w:rFonts w:hint="eastAsia" w:ascii="宋体" w:hAnsi="宋体" w:eastAsia="宋体" w:cs="宋体"/>
          <w:sz w:val="21"/>
          <w:szCs w:val="21"/>
          <w:lang w:bidi="ar"/>
        </w:rPr>
        <w:t xml:space="preserve"> 面板门槛效应回归模型（“强省会”战略的创新效应研究）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08458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2CAD6310">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4E8D380E">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4E1EEC2E">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0D4041A">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DA0A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6B27E455">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面板门槛效应回归模型（“强省会”战略的创新效应研究）</w:t>
            </w:r>
          </w:p>
        </w:tc>
        <w:tc>
          <w:tcPr>
            <w:tcW w:w="1240" w:type="dxa"/>
            <w:vMerge w:val="restart"/>
            <w:noWrap w:val="0"/>
            <w:vAlign w:val="center"/>
          </w:tcPr>
          <w:p w14:paraId="068F2A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16963D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01B27C5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77E80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84B033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A3CDD9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564B5B5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64A09F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921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D91E9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C1220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0D27EA2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2E83A3E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172E7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4EDF7F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2B6C872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7FCB09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任务1：基础模型回归结果</w:t>
            </w:r>
          </w:p>
        </w:tc>
        <w:tc>
          <w:tcPr>
            <w:tcW w:w="1356" w:type="dxa"/>
            <w:vMerge w:val="continue"/>
            <w:noWrap w:val="0"/>
            <w:vAlign w:val="center"/>
          </w:tcPr>
          <w:p w14:paraId="4411B47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091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58E702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AA73D0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E40A6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任务2：工具变量回归结果</w:t>
            </w:r>
          </w:p>
        </w:tc>
        <w:tc>
          <w:tcPr>
            <w:tcW w:w="1356" w:type="dxa"/>
            <w:vMerge w:val="continue"/>
            <w:noWrap w:val="0"/>
            <w:vAlign w:val="center"/>
          </w:tcPr>
          <w:p w14:paraId="28C907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F147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A5583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C45A3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DDF329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稳健性检验回归结果</w:t>
            </w:r>
          </w:p>
        </w:tc>
        <w:tc>
          <w:tcPr>
            <w:tcW w:w="1356" w:type="dxa"/>
            <w:vMerge w:val="continue"/>
            <w:noWrap w:val="0"/>
            <w:vAlign w:val="center"/>
          </w:tcPr>
          <w:p w14:paraId="2BD55D2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8065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8B704F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304156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E1995F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基于上市公司稳健性检验</w:t>
            </w:r>
          </w:p>
        </w:tc>
        <w:tc>
          <w:tcPr>
            <w:tcW w:w="1356" w:type="dxa"/>
            <w:vMerge w:val="continue"/>
            <w:noWrap w:val="0"/>
            <w:vAlign w:val="center"/>
          </w:tcPr>
          <w:p w14:paraId="2485DA9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F7E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31C48C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9824F1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F56AC3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异质性检验结果</w:t>
            </w:r>
          </w:p>
        </w:tc>
        <w:tc>
          <w:tcPr>
            <w:tcW w:w="1356" w:type="dxa"/>
            <w:vMerge w:val="continue"/>
            <w:noWrap w:val="0"/>
            <w:vAlign w:val="center"/>
          </w:tcPr>
          <w:p w14:paraId="32D798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BE3F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BA939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9D0C70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D20354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任务6：溢出效应检验结果</w:t>
            </w:r>
          </w:p>
        </w:tc>
        <w:tc>
          <w:tcPr>
            <w:tcW w:w="1356" w:type="dxa"/>
            <w:vMerge w:val="continue"/>
            <w:noWrap w:val="0"/>
            <w:vAlign w:val="center"/>
          </w:tcPr>
          <w:p w14:paraId="2B9D97F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1F73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D3C472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01B3EFC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AD89D4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任务7：门槛数检验</w:t>
            </w:r>
          </w:p>
        </w:tc>
        <w:tc>
          <w:tcPr>
            <w:tcW w:w="1356" w:type="dxa"/>
            <w:vMerge w:val="continue"/>
            <w:noWrap w:val="0"/>
            <w:vAlign w:val="center"/>
          </w:tcPr>
          <w:p w14:paraId="344A2B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58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3815F9C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EB642B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61BEB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任务8：门槛效应检验结果</w:t>
            </w:r>
          </w:p>
        </w:tc>
        <w:tc>
          <w:tcPr>
            <w:tcW w:w="1356" w:type="dxa"/>
            <w:vMerge w:val="continue"/>
            <w:noWrap w:val="0"/>
            <w:vAlign w:val="center"/>
          </w:tcPr>
          <w:p w14:paraId="3E851F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59BDA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BE41C2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8CB031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BEA790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任务9：调节作用检验结果</w:t>
            </w:r>
          </w:p>
        </w:tc>
        <w:tc>
          <w:tcPr>
            <w:tcW w:w="1356" w:type="dxa"/>
            <w:vMerge w:val="continue"/>
            <w:noWrap w:val="0"/>
            <w:vAlign w:val="center"/>
          </w:tcPr>
          <w:p w14:paraId="6B72AC8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505BD6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_Toc4098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β收敛模型与空间计量模型（创新集群的“中心—外围结构”：技术互补与经济增长收敛性研究）</w:t>
      </w:r>
      <w:r>
        <w:rPr>
          <w:rFonts w:hint="eastAsia" w:ascii="宋体" w:hAnsi="宋体" w:eastAsia="宋体" w:cs="宋体"/>
          <w:b/>
          <w:bCs/>
          <w:sz w:val="24"/>
          <w:lang w:val="en-US" w:eastAsia="zh-CN"/>
        </w:rPr>
        <w:fldChar w:fldCharType="end"/>
      </w:r>
    </w:p>
    <w:p w14:paraId="6A470EF0">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以顶刊论文为操作案例复现，高效掌握β收敛模型与空间计量模型建模技巧与论文写作技巧。</w:t>
      </w:r>
    </w:p>
    <w:p w14:paraId="627730EB">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 xml:space="preserve">10 </w:t>
      </w:r>
      <w:r>
        <w:rPr>
          <w:rFonts w:hint="eastAsia" w:ascii="宋体" w:hAnsi="宋体" w:eastAsia="宋体" w:cs="宋体"/>
          <w:sz w:val="21"/>
          <w:szCs w:val="21"/>
          <w:lang w:bidi="ar"/>
        </w:rPr>
        <w:t>β收敛模型与空间计量模型（创新集群的“中心—外围结构”：技术互补与经济增长收敛性研究）</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752"/>
        <w:gridCol w:w="5058"/>
        <w:gridCol w:w="1356"/>
      </w:tblGrid>
      <w:tr w14:paraId="73D4A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583" w:type="dxa"/>
            <w:shd w:val="clear" w:color="auto" w:fill="E6E6E6"/>
            <w:noWrap w:val="0"/>
            <w:vAlign w:val="center"/>
          </w:tcPr>
          <w:p w14:paraId="1CA118C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752" w:type="dxa"/>
            <w:shd w:val="clear" w:color="auto" w:fill="E6E6E6"/>
            <w:noWrap w:val="0"/>
            <w:vAlign w:val="center"/>
          </w:tcPr>
          <w:p w14:paraId="5D66368C">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762D07E4">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5487C5DD">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65A39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restart"/>
            <w:noWrap w:val="0"/>
            <w:vAlign w:val="center"/>
          </w:tcPr>
          <w:p w14:paraId="0F5483D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β收敛模型与空间计量模型（创新集群的“中心—外围结构”：技术互补与经济增长收敛性研究）</w:t>
            </w:r>
          </w:p>
        </w:tc>
        <w:tc>
          <w:tcPr>
            <w:tcW w:w="752" w:type="dxa"/>
            <w:vMerge w:val="restart"/>
            <w:noWrap w:val="0"/>
            <w:vAlign w:val="center"/>
          </w:tcPr>
          <w:p w14:paraId="00868B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53075A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7246DB6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0BAB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237E3C0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64305FE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E2699A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57DCB89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FBA3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3B7FD9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56A68E6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4AFA025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3E479FE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28BD0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1E9952D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restart"/>
            <w:noWrap w:val="0"/>
            <w:vAlign w:val="center"/>
          </w:tcPr>
          <w:p w14:paraId="3EEE02A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实施步骤</w:t>
            </w:r>
          </w:p>
        </w:tc>
        <w:tc>
          <w:tcPr>
            <w:tcW w:w="5058" w:type="dxa"/>
            <w:noWrap w:val="0"/>
            <w:vAlign w:val="center"/>
          </w:tcPr>
          <w:p w14:paraId="74D69A8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任务1：互补性技术体系下的β收敛检验结果</w:t>
            </w:r>
          </w:p>
        </w:tc>
        <w:tc>
          <w:tcPr>
            <w:tcW w:w="1356" w:type="dxa"/>
            <w:vMerge w:val="continue"/>
            <w:noWrap w:val="0"/>
            <w:vAlign w:val="center"/>
          </w:tcPr>
          <w:p w14:paraId="20A275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3B0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6746A17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4FC48E9B">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B9C546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任务2：20个创新集群的绝对β收敛检验结果</w:t>
            </w:r>
          </w:p>
        </w:tc>
        <w:tc>
          <w:tcPr>
            <w:tcW w:w="1356" w:type="dxa"/>
            <w:vMerge w:val="continue"/>
            <w:noWrap w:val="0"/>
            <w:vAlign w:val="center"/>
          </w:tcPr>
          <w:p w14:paraId="40A63EB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68D0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0D6BE9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4F6248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7D7605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20个创新集群的条件β收敛检验结果</w:t>
            </w:r>
          </w:p>
        </w:tc>
        <w:tc>
          <w:tcPr>
            <w:tcW w:w="1356" w:type="dxa"/>
            <w:vMerge w:val="continue"/>
            <w:noWrap w:val="0"/>
            <w:vAlign w:val="center"/>
          </w:tcPr>
          <w:p w14:paraId="506C3DA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C329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7A42746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2486E6E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C1400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竞争性技术体系下的β收敛性检验</w:t>
            </w:r>
          </w:p>
        </w:tc>
        <w:tc>
          <w:tcPr>
            <w:tcW w:w="1356" w:type="dxa"/>
            <w:vMerge w:val="continue"/>
            <w:noWrap w:val="0"/>
            <w:vAlign w:val="center"/>
          </w:tcPr>
          <w:p w14:paraId="66CB1D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2AC3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583" w:type="dxa"/>
            <w:vMerge w:val="continue"/>
            <w:noWrap w:val="0"/>
            <w:vAlign w:val="center"/>
          </w:tcPr>
          <w:p w14:paraId="22D35B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752" w:type="dxa"/>
            <w:vMerge w:val="continue"/>
            <w:noWrap w:val="0"/>
            <w:vAlign w:val="center"/>
          </w:tcPr>
          <w:p w14:paraId="5B277A5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B0D4EB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协同式创新影响创新集群中心—外围技术互补的检验结果</w:t>
            </w:r>
          </w:p>
        </w:tc>
        <w:tc>
          <w:tcPr>
            <w:tcW w:w="1356" w:type="dxa"/>
            <w:vMerge w:val="continue"/>
            <w:noWrap w:val="0"/>
            <w:vAlign w:val="center"/>
          </w:tcPr>
          <w:p w14:paraId="612B2FD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02786451">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rPr>
        <w:t>★</w:t>
      </w:r>
      <w:r>
        <w:rPr>
          <w:rFonts w:hint="eastAsia" w:ascii="宋体" w:hAnsi="宋体" w:eastAsia="宋体" w:cs="宋体"/>
          <w:b/>
          <w:bCs/>
          <w:sz w:val="24"/>
          <w:lang w:val="en-US" w:eastAsia="zh-CN"/>
        </w:rPr>
        <w:fldChar w:fldCharType="begin"/>
      </w:r>
      <w:r>
        <w:rPr>
          <w:rFonts w:hint="eastAsia" w:ascii="宋体" w:hAnsi="宋体" w:eastAsia="宋体" w:cs="宋体"/>
          <w:b/>
          <w:bCs/>
          <w:sz w:val="24"/>
          <w:lang w:val="en-US" w:eastAsia="zh-CN"/>
        </w:rPr>
        <w:instrText xml:space="preserve"> HYPERLINK \l _Toc1725 </w:instrText>
      </w:r>
      <w:r>
        <w:rPr>
          <w:rFonts w:hint="eastAsia" w:ascii="宋体" w:hAnsi="宋体" w:eastAsia="宋体" w:cs="宋体"/>
          <w:b/>
          <w:bCs/>
          <w:sz w:val="24"/>
          <w:lang w:val="en-US" w:eastAsia="zh-CN"/>
        </w:rPr>
        <w:fldChar w:fldCharType="separate"/>
      </w:r>
      <w:r>
        <w:rPr>
          <w:rFonts w:hint="eastAsia" w:ascii="宋体" w:hAnsi="宋体" w:eastAsia="宋体" w:cs="宋体"/>
          <w:b/>
          <w:bCs/>
          <w:sz w:val="24"/>
          <w:lang w:val="en-US" w:eastAsia="zh-CN"/>
        </w:rPr>
        <w:t>合成控制法（大小城市合并与行政边界地区经济增长：基于机器学习算法的合成控制评估）</w:t>
      </w:r>
      <w:r>
        <w:rPr>
          <w:rFonts w:hint="eastAsia" w:ascii="宋体" w:hAnsi="宋体" w:eastAsia="宋体" w:cs="宋体"/>
          <w:b/>
          <w:bCs/>
          <w:sz w:val="24"/>
          <w:lang w:val="en-US" w:eastAsia="zh-CN"/>
        </w:rPr>
        <w:fldChar w:fldCharType="end"/>
      </w:r>
      <w:r>
        <w:rPr>
          <w:rFonts w:hint="eastAsia" w:ascii="宋体" w:hAnsi="宋体" w:eastAsia="宋体" w:cs="宋体"/>
          <w:b/>
          <w:bCs/>
          <w:sz w:val="24"/>
          <w:lang w:val="en-US" w:eastAsia="zh-CN"/>
        </w:rPr>
        <w:t>:</w:t>
      </w:r>
    </w:p>
    <w:p w14:paraId="7E207FC7">
      <w:pPr>
        <w:pStyle w:val="2"/>
        <w:keepNext w:val="0"/>
        <w:keepLines w:val="0"/>
        <w:pageBreakBefore w:val="0"/>
        <w:widowControl w:val="0"/>
        <w:kinsoku/>
        <w:wordWrap/>
        <w:overflowPunct/>
        <w:topLinePunct w:val="0"/>
        <w:autoSpaceDE/>
        <w:autoSpaceDN/>
        <w:bidi w:val="0"/>
        <w:adjustRightInd w:val="0"/>
        <w:snapToGrid w:val="0"/>
        <w:spacing w:after="0" w:line="360" w:lineRule="auto"/>
        <w:ind w:left="0" w:leftChars="0" w:firstLine="480" w:firstLineChars="200"/>
        <w:textAlignment w:val="auto"/>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以顶刊论文为操作案例复现，高效掌握合成控制法建模技巧与论文写作技巧。</w:t>
      </w:r>
    </w:p>
    <w:p w14:paraId="2C7F435B">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t>表</w:t>
      </w:r>
      <w:r>
        <w:rPr>
          <w:rFonts w:hint="eastAsia" w:ascii="宋体" w:hAnsi="宋体" w:eastAsia="宋体" w:cs="宋体"/>
          <w:sz w:val="21"/>
          <w:szCs w:val="21"/>
          <w:lang w:val="en-US" w:eastAsia="zh-CN" w:bidi="ar"/>
        </w:rPr>
        <w:t>11</w:t>
      </w:r>
      <w:r>
        <w:rPr>
          <w:rFonts w:hint="eastAsia" w:ascii="宋体" w:hAnsi="宋体" w:eastAsia="宋体" w:cs="宋体"/>
          <w:sz w:val="21"/>
          <w:szCs w:val="21"/>
          <w:lang w:bidi="ar"/>
        </w:rPr>
        <w:t xml:space="preserve"> </w:t>
      </w:r>
      <w:r>
        <w:rPr>
          <w:rFonts w:hint="eastAsia" w:ascii="宋体" w:hAnsi="宋体" w:eastAsia="宋体" w:cs="宋体"/>
          <w:sz w:val="21"/>
          <w:szCs w:val="21"/>
          <w:lang w:val="en-US" w:eastAsia="zh-CN" w:bidi="ar"/>
        </w:rPr>
        <w:t>合成控制法（大小城市合并与行政边界地区经济增长：基于机器学习算法的合成控制评估）</w:t>
      </w:r>
    </w:p>
    <w:tbl>
      <w:tblPr>
        <w:tblStyle w:val="8"/>
        <w:tblW w:w="87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240"/>
        <w:gridCol w:w="5058"/>
        <w:gridCol w:w="1356"/>
      </w:tblGrid>
      <w:tr w14:paraId="1AAF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1095" w:type="dxa"/>
            <w:shd w:val="clear" w:color="auto" w:fill="E6E6E6"/>
            <w:noWrap w:val="0"/>
            <w:vAlign w:val="center"/>
          </w:tcPr>
          <w:p w14:paraId="55E3C7ED">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子实验</w:t>
            </w:r>
          </w:p>
        </w:tc>
        <w:tc>
          <w:tcPr>
            <w:tcW w:w="1240" w:type="dxa"/>
            <w:shd w:val="clear" w:color="auto" w:fill="E6E6E6"/>
            <w:noWrap w:val="0"/>
            <w:vAlign w:val="center"/>
          </w:tcPr>
          <w:p w14:paraId="77E9BB5A">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流程</w:t>
            </w:r>
          </w:p>
        </w:tc>
        <w:tc>
          <w:tcPr>
            <w:tcW w:w="5058" w:type="dxa"/>
            <w:shd w:val="clear" w:color="auto" w:fill="E6E6E6"/>
            <w:noWrap w:val="0"/>
            <w:vAlign w:val="center"/>
          </w:tcPr>
          <w:p w14:paraId="7A22E54B">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步骤</w:t>
            </w:r>
          </w:p>
        </w:tc>
        <w:tc>
          <w:tcPr>
            <w:tcW w:w="1356" w:type="dxa"/>
            <w:shd w:val="clear" w:color="auto" w:fill="E6E6E6"/>
            <w:noWrap w:val="0"/>
            <w:vAlign w:val="center"/>
          </w:tcPr>
          <w:p w14:paraId="30CC7292">
            <w:pPr>
              <w:pStyle w:val="7"/>
              <w:widowControl/>
              <w:spacing w:beforeAutospacing="0" w:afterAutospacing="0" w:line="240" w:lineRule="auto"/>
              <w:ind w:firstLine="0" w:firstLineChars="0"/>
              <w:jc w:val="center"/>
              <w:rPr>
                <w:rFonts w:hint="eastAsia" w:ascii="宋体" w:hAnsi="宋体" w:eastAsia="宋体" w:cs="宋体"/>
                <w:sz w:val="21"/>
                <w:szCs w:val="21"/>
              </w:rPr>
            </w:pPr>
            <w:r>
              <w:rPr>
                <w:rFonts w:hint="eastAsia" w:ascii="宋体" w:hAnsi="宋体" w:eastAsia="宋体" w:cs="宋体"/>
                <w:sz w:val="21"/>
                <w:szCs w:val="21"/>
              </w:rPr>
              <w:t>涉及平台</w:t>
            </w:r>
          </w:p>
        </w:tc>
      </w:tr>
      <w:tr w14:paraId="018B7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restart"/>
            <w:noWrap w:val="0"/>
            <w:vAlign w:val="center"/>
          </w:tcPr>
          <w:p w14:paraId="7CB144C8">
            <w:pPr>
              <w:keepNext w:val="0"/>
              <w:keepLines w:val="0"/>
              <w:pageBreakBefore w:val="0"/>
              <w:widowControl w:val="0"/>
              <w:tabs>
                <w:tab w:val="left" w:pos="1320"/>
              </w:tabs>
              <w:kinsoku/>
              <w:wordWrap/>
              <w:overflowPunct/>
              <w:topLinePunct w:val="0"/>
              <w:autoSpaceDE/>
              <w:autoSpaceDN/>
              <w:bidi w:val="0"/>
              <w:adjustRightInd w:val="0"/>
              <w:snapToGrid w:val="0"/>
              <w:spacing w:beforeAutospacing="0" w:afterAutospacing="0" w:line="360" w:lineRule="auto"/>
              <w:ind w:right="0" w:firstLine="0" w:firstLineChars="0"/>
              <w:jc w:val="center"/>
              <w:textAlignment w:val="auto"/>
              <w:rPr>
                <w:rFonts w:hint="eastAsia" w:ascii="宋体" w:hAnsi="宋体" w:eastAsia="宋体" w:cs="宋体"/>
                <w:sz w:val="21"/>
                <w:szCs w:val="21"/>
                <w:lang w:val="en-US" w:eastAsia="zh-CN" w:bidi="ar"/>
              </w:rPr>
            </w:pPr>
            <w:r>
              <w:rPr>
                <w:rFonts w:hint="eastAsia" w:ascii="宋体" w:hAnsi="宋体" w:eastAsia="宋体" w:cs="宋体"/>
                <w:sz w:val="21"/>
                <w:szCs w:val="21"/>
                <w:lang w:bidi="ar"/>
              </w:rPr>
              <w:br w:type="textWrapping"/>
            </w:r>
            <w:r>
              <w:rPr>
                <w:rFonts w:hint="eastAsia" w:ascii="宋体" w:hAnsi="宋体" w:eastAsia="宋体" w:cs="宋体"/>
                <w:sz w:val="21"/>
                <w:szCs w:val="21"/>
                <w:lang w:bidi="ar"/>
              </w:rPr>
              <w:t>合成控制法（大小城市合并与行政边界地区经济增长：基于机器学习算法的合成控制评估）</w:t>
            </w:r>
          </w:p>
          <w:p w14:paraId="328C602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7A14532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p w14:paraId="451106F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02C5FF2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r>
              <w:rPr>
                <w:rFonts w:hint="eastAsia" w:ascii="宋体" w:hAnsi="宋体" w:eastAsia="宋体" w:cs="宋体"/>
                <w:spacing w:val="10"/>
                <w:sz w:val="21"/>
                <w:szCs w:val="21"/>
              </w:rPr>
              <w:t>实验准备</w:t>
            </w:r>
          </w:p>
        </w:tc>
        <w:tc>
          <w:tcPr>
            <w:tcW w:w="5058" w:type="dxa"/>
            <w:noWrap w:val="0"/>
            <w:vAlign w:val="center"/>
          </w:tcPr>
          <w:p w14:paraId="3B3BCD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打开并登录平台学习案例相关理论知识</w:t>
            </w:r>
          </w:p>
        </w:tc>
        <w:tc>
          <w:tcPr>
            <w:tcW w:w="1356" w:type="dxa"/>
            <w:vMerge w:val="restart"/>
            <w:noWrap w:val="0"/>
            <w:vAlign w:val="center"/>
          </w:tcPr>
          <w:p w14:paraId="6D1BF2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lang w:eastAsia="zh-CN"/>
              </w:rPr>
            </w:pPr>
            <w:r>
              <w:rPr>
                <w:rFonts w:hint="eastAsia" w:hAnsi="宋体" w:cs="宋体"/>
                <w:sz w:val="21"/>
                <w:szCs w:val="21"/>
                <w:lang w:eastAsia="zh-CN"/>
              </w:rPr>
              <w:t>数字经济AI建模教学平台</w:t>
            </w:r>
          </w:p>
        </w:tc>
      </w:tr>
      <w:tr w14:paraId="7105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350B1C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5BF6541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C20984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准备案例相关数据</w:t>
            </w:r>
          </w:p>
        </w:tc>
        <w:tc>
          <w:tcPr>
            <w:tcW w:w="1356" w:type="dxa"/>
            <w:vMerge w:val="continue"/>
            <w:noWrap w:val="0"/>
            <w:vAlign w:val="center"/>
          </w:tcPr>
          <w:p w14:paraId="020B05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5A5A9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02157D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1CBE9D2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pacing w:val="10"/>
                <w:sz w:val="21"/>
                <w:szCs w:val="21"/>
              </w:rPr>
            </w:pPr>
          </w:p>
        </w:tc>
        <w:tc>
          <w:tcPr>
            <w:tcW w:w="5058" w:type="dxa"/>
            <w:noWrap w:val="0"/>
            <w:vAlign w:val="center"/>
          </w:tcPr>
          <w:p w14:paraId="1975ACB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left="0" w:leftChars="0" w:right="0" w:rightChars="0" w:firstLine="0" w:firstLineChars="0"/>
              <w:textAlignment w:val="auto"/>
              <w:rPr>
                <w:rFonts w:hint="eastAsia" w:ascii="宋体" w:hAnsi="宋体" w:eastAsia="宋体" w:cs="宋体"/>
                <w:color w:val="FF0000"/>
                <w:spacing w:val="10"/>
                <w:sz w:val="21"/>
                <w:szCs w:val="21"/>
                <w:lang w:val="en-US" w:eastAsia="zh-CN"/>
              </w:rPr>
            </w:pPr>
            <w:r>
              <w:rPr>
                <w:rFonts w:hint="eastAsia" w:ascii="宋体" w:hAnsi="宋体" w:eastAsia="宋体" w:cs="宋体"/>
                <w:sz w:val="21"/>
                <w:szCs w:val="21"/>
                <w:lang w:val="en-US" w:eastAsia="zh-CN"/>
              </w:rPr>
              <w:t>准备仿写文档</w:t>
            </w:r>
          </w:p>
        </w:tc>
        <w:tc>
          <w:tcPr>
            <w:tcW w:w="1356" w:type="dxa"/>
            <w:vMerge w:val="continue"/>
            <w:noWrap w:val="0"/>
            <w:vAlign w:val="center"/>
          </w:tcPr>
          <w:p w14:paraId="10F2D59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pacing w:val="10"/>
                <w:sz w:val="21"/>
                <w:szCs w:val="21"/>
              </w:rPr>
            </w:pPr>
          </w:p>
        </w:tc>
      </w:tr>
      <w:tr w14:paraId="07893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03AD9E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restart"/>
            <w:noWrap w:val="0"/>
            <w:vAlign w:val="center"/>
          </w:tcPr>
          <w:p w14:paraId="73D7D6D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实验实施步骤</w:t>
            </w:r>
          </w:p>
        </w:tc>
        <w:tc>
          <w:tcPr>
            <w:tcW w:w="5058" w:type="dxa"/>
            <w:noWrap w:val="0"/>
            <w:vAlign w:val="center"/>
          </w:tcPr>
          <w:p w14:paraId="515C0C2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任务1：济南莱芜边界地区与其他边界地区的灯光亮度随年分布变化图</w:t>
            </w:r>
          </w:p>
        </w:tc>
        <w:tc>
          <w:tcPr>
            <w:tcW w:w="1356" w:type="dxa"/>
            <w:vMerge w:val="continue"/>
            <w:noWrap w:val="0"/>
            <w:vAlign w:val="center"/>
          </w:tcPr>
          <w:p w14:paraId="5D1FA9D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852A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7C76D8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3FA15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159653E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任务2：基准模型结果</w:t>
            </w:r>
          </w:p>
        </w:tc>
        <w:tc>
          <w:tcPr>
            <w:tcW w:w="1356" w:type="dxa"/>
            <w:vMerge w:val="continue"/>
            <w:noWrap w:val="0"/>
            <w:vAlign w:val="center"/>
          </w:tcPr>
          <w:p w14:paraId="576F091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4297C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2BA5C8A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67E83BD">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BC7883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任务3：</w:t>
            </w:r>
            <w:r>
              <w:rPr>
                <w:rFonts w:hint="eastAsia" w:ascii="宋体" w:hAnsi="宋体" w:eastAsia="宋体" w:cs="宋体"/>
                <w:b w:val="0"/>
                <w:kern w:val="2"/>
                <w:sz w:val="21"/>
                <w:szCs w:val="21"/>
                <w:lang w:val="en-US" w:eastAsia="zh-CN" w:bidi="ar"/>
              </w:rPr>
              <w:t>更换边界地区度量方式：绝对距离法</w:t>
            </w:r>
          </w:p>
        </w:tc>
        <w:tc>
          <w:tcPr>
            <w:tcW w:w="1356" w:type="dxa"/>
            <w:vMerge w:val="continue"/>
            <w:noWrap w:val="0"/>
            <w:vAlign w:val="center"/>
          </w:tcPr>
          <w:p w14:paraId="4DD1DC6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C3B2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4DC3B2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6F818507">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1ABA04A">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任务4：</w:t>
            </w:r>
            <w:r>
              <w:rPr>
                <w:rFonts w:hint="eastAsia" w:ascii="宋体" w:hAnsi="宋体" w:eastAsia="宋体" w:cs="宋体"/>
                <w:b w:val="0"/>
                <w:kern w:val="2"/>
                <w:sz w:val="21"/>
                <w:szCs w:val="21"/>
                <w:lang w:val="en-US" w:eastAsia="zh-CN" w:bidi="ar"/>
              </w:rPr>
              <w:t>更换控制组为全国边界地区</w:t>
            </w:r>
          </w:p>
        </w:tc>
        <w:tc>
          <w:tcPr>
            <w:tcW w:w="1356" w:type="dxa"/>
            <w:vMerge w:val="continue"/>
            <w:noWrap w:val="0"/>
            <w:vAlign w:val="center"/>
          </w:tcPr>
          <w:p w14:paraId="72714CA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24169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3C14A4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11FB75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297B815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b w:val="0"/>
                <w:kern w:val="2"/>
                <w:sz w:val="21"/>
                <w:szCs w:val="21"/>
                <w:lang w:val="en-US" w:eastAsia="zh-CN" w:bidi="ar"/>
              </w:rPr>
            </w:pPr>
            <w:r>
              <w:rPr>
                <w:rFonts w:hint="eastAsia" w:ascii="宋体" w:hAnsi="宋体" w:eastAsia="宋体" w:cs="宋体"/>
                <w:sz w:val="21"/>
                <w:szCs w:val="21"/>
                <w:lang w:val="en-US" w:eastAsia="zh-CN"/>
              </w:rPr>
              <w:t>任务5：</w:t>
            </w:r>
            <w:r>
              <w:rPr>
                <w:rFonts w:hint="eastAsia" w:ascii="宋体" w:hAnsi="宋体" w:eastAsia="宋体" w:cs="宋体"/>
                <w:b w:val="0"/>
                <w:kern w:val="2"/>
                <w:sz w:val="21"/>
                <w:szCs w:val="21"/>
                <w:lang w:val="en-US" w:eastAsia="zh-CN" w:bidi="ar"/>
              </w:rPr>
              <w:t>Lasso算法下的政策效应</w:t>
            </w:r>
          </w:p>
        </w:tc>
        <w:tc>
          <w:tcPr>
            <w:tcW w:w="1356" w:type="dxa"/>
            <w:vMerge w:val="continue"/>
            <w:noWrap w:val="0"/>
            <w:vAlign w:val="center"/>
          </w:tcPr>
          <w:p w14:paraId="787356A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A9C6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62F36A8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534ECE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BF864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任务6：安慰剂检验</w:t>
            </w:r>
          </w:p>
        </w:tc>
        <w:tc>
          <w:tcPr>
            <w:tcW w:w="1356" w:type="dxa"/>
            <w:vMerge w:val="continue"/>
            <w:noWrap w:val="0"/>
            <w:vAlign w:val="center"/>
          </w:tcPr>
          <w:p w14:paraId="7E8EEDF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A5B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951D6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D66BA78">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47FD92E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任务7：济南莱芜边界两侧灯光分别合成</w:t>
            </w:r>
          </w:p>
        </w:tc>
        <w:tc>
          <w:tcPr>
            <w:tcW w:w="1356" w:type="dxa"/>
            <w:vMerge w:val="continue"/>
            <w:noWrap w:val="0"/>
            <w:vAlign w:val="center"/>
          </w:tcPr>
          <w:p w14:paraId="04E3F68E">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55C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C6B82E4">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3228C8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4B7AD4F">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任务8：济南和莱芜中心城区灯光分别合成</w:t>
            </w:r>
          </w:p>
        </w:tc>
        <w:tc>
          <w:tcPr>
            <w:tcW w:w="1356" w:type="dxa"/>
            <w:vMerge w:val="continue"/>
            <w:noWrap w:val="0"/>
            <w:vAlign w:val="center"/>
          </w:tcPr>
          <w:p w14:paraId="5A5176F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0B61A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40D532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76CCB3B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3A171D8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任务9：样本外测试：2018年为测试集</w:t>
            </w:r>
          </w:p>
        </w:tc>
        <w:tc>
          <w:tcPr>
            <w:tcW w:w="1356" w:type="dxa"/>
            <w:vMerge w:val="continue"/>
            <w:noWrap w:val="0"/>
            <w:vAlign w:val="center"/>
          </w:tcPr>
          <w:p w14:paraId="4B271AB0">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7BC7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103C97F5">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46DFF219">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651813D1">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任务10：样本外测试：更换验证集</w:t>
            </w:r>
          </w:p>
        </w:tc>
        <w:tc>
          <w:tcPr>
            <w:tcW w:w="1356" w:type="dxa"/>
            <w:vMerge w:val="continue"/>
            <w:noWrap w:val="0"/>
            <w:vAlign w:val="center"/>
          </w:tcPr>
          <w:p w14:paraId="2007E432">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r w14:paraId="30714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95" w:type="dxa"/>
            <w:vMerge w:val="continue"/>
            <w:noWrap w:val="0"/>
            <w:vAlign w:val="center"/>
          </w:tcPr>
          <w:p w14:paraId="57BD0A8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c>
          <w:tcPr>
            <w:tcW w:w="1240" w:type="dxa"/>
            <w:vMerge w:val="continue"/>
            <w:noWrap w:val="0"/>
            <w:vAlign w:val="center"/>
          </w:tcPr>
          <w:p w14:paraId="26F70463">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rPr>
            </w:pPr>
          </w:p>
        </w:tc>
        <w:tc>
          <w:tcPr>
            <w:tcW w:w="5058" w:type="dxa"/>
            <w:noWrap w:val="0"/>
            <w:vAlign w:val="center"/>
          </w:tcPr>
          <w:p w14:paraId="54ED652C">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任务11：长春和公主岭边界地区灯光分别合成</w:t>
            </w:r>
          </w:p>
        </w:tc>
        <w:tc>
          <w:tcPr>
            <w:tcW w:w="1356" w:type="dxa"/>
            <w:vMerge w:val="continue"/>
            <w:noWrap w:val="0"/>
            <w:vAlign w:val="center"/>
          </w:tcPr>
          <w:p w14:paraId="32F5B7C6">
            <w:pPr>
              <w:pStyle w:val="4"/>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right="0" w:firstLine="0" w:firstLineChars="0"/>
              <w:jc w:val="center"/>
              <w:textAlignment w:val="auto"/>
              <w:rPr>
                <w:rFonts w:hint="eastAsia" w:ascii="宋体" w:hAnsi="宋体" w:eastAsia="宋体" w:cs="宋体"/>
                <w:sz w:val="21"/>
                <w:szCs w:val="21"/>
              </w:rPr>
            </w:pPr>
          </w:p>
        </w:tc>
      </w:tr>
    </w:tbl>
    <w:p w14:paraId="4DA64F05">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sz w:val="24"/>
        </w:rPr>
      </w:pPr>
      <w:bookmarkStart w:id="1" w:name="_Hlk117690077"/>
      <w:r>
        <w:rPr>
          <w:rFonts w:hint="eastAsia" w:ascii="宋体" w:hAnsi="宋体" w:eastAsia="宋体" w:cs="宋体"/>
          <w:b/>
          <w:bCs/>
          <w:sz w:val="24"/>
        </w:rPr>
        <w:t>二、评分指标</w:t>
      </w:r>
    </w:p>
    <w:p w14:paraId="244968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1.以上</w:t>
      </w:r>
      <w:r>
        <w:rPr>
          <w:rFonts w:hint="eastAsia" w:ascii="宋体" w:hAnsi="宋体" w:eastAsia="宋体" w:cs="宋体"/>
          <w:sz w:val="24"/>
          <w:szCs w:val="24"/>
        </w:rPr>
        <w:t>★</w:t>
      </w:r>
      <w:r>
        <w:rPr>
          <w:rFonts w:hint="eastAsia" w:ascii="宋体" w:hAnsi="宋体" w:eastAsia="宋体" w:cs="宋体"/>
          <w:sz w:val="24"/>
          <w:szCs w:val="24"/>
          <w:lang w:val="en-US" w:eastAsia="zh-CN"/>
        </w:rPr>
        <w:t>为核心功能，</w:t>
      </w:r>
      <w:r>
        <w:rPr>
          <w:rFonts w:hint="eastAsia" w:ascii="宋体" w:hAnsi="宋体" w:eastAsia="宋体" w:cs="宋体"/>
          <w:sz w:val="24"/>
        </w:rPr>
        <w:t>每个扣技术总分的1/</w:t>
      </w:r>
      <w:r>
        <w:rPr>
          <w:rFonts w:hint="eastAsia" w:ascii="宋体" w:hAnsi="宋体" w:eastAsia="宋体" w:cs="宋体"/>
          <w:sz w:val="24"/>
          <w:lang w:val="en-US" w:eastAsia="zh-CN"/>
        </w:rPr>
        <w:t>15</w:t>
      </w:r>
      <w:r>
        <w:rPr>
          <w:rFonts w:hint="eastAsia" w:ascii="宋体" w:hAnsi="宋体" w:eastAsia="宋体" w:cs="宋体"/>
          <w:sz w:val="24"/>
        </w:rPr>
        <w:t>，直到全部技术总分扣完为止。</w:t>
      </w:r>
    </w:p>
    <w:p w14:paraId="0808370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2.现场或远程展示以上</w:t>
      </w:r>
      <w:bookmarkStart w:id="3" w:name="_GoBack"/>
      <w:bookmarkEnd w:id="3"/>
      <w:r>
        <w:rPr>
          <w:rFonts w:hint="eastAsia" w:ascii="宋体" w:hAnsi="宋体" w:eastAsia="宋体" w:cs="宋体"/>
          <w:sz w:val="24"/>
          <w:lang w:val="en-US" w:eastAsia="zh-CN"/>
        </w:rPr>
        <w:t>案例</w:t>
      </w:r>
      <w:r>
        <w:rPr>
          <w:rFonts w:hint="eastAsia" w:ascii="宋体" w:hAnsi="宋体" w:eastAsia="宋体" w:cs="宋体"/>
          <w:sz w:val="24"/>
        </w:rPr>
        <w:t>实验的源代码</w:t>
      </w:r>
      <w:r>
        <w:rPr>
          <w:rFonts w:hint="eastAsia" w:ascii="宋体" w:hAnsi="宋体" w:eastAsia="宋体" w:cs="宋体"/>
          <w:sz w:val="24"/>
          <w:lang w:val="en-US" w:eastAsia="zh-CN"/>
        </w:rPr>
        <w:t>可视化数据</w:t>
      </w:r>
      <w:r>
        <w:rPr>
          <w:rFonts w:hint="eastAsia" w:ascii="宋体" w:hAnsi="宋体" w:eastAsia="宋体" w:cs="宋体"/>
          <w:sz w:val="24"/>
        </w:rPr>
        <w:t>，并讲解源代码流程逻辑，如不能展示源代码，或讲解源代码流程逻辑，每个扣技术总分的1/</w:t>
      </w:r>
      <w:r>
        <w:rPr>
          <w:rFonts w:hint="eastAsia" w:ascii="宋体" w:hAnsi="宋体" w:eastAsia="宋体" w:cs="宋体"/>
          <w:sz w:val="24"/>
          <w:lang w:val="en-US" w:eastAsia="zh-CN"/>
        </w:rPr>
        <w:t>8</w:t>
      </w:r>
      <w:r>
        <w:rPr>
          <w:rFonts w:hint="eastAsia" w:ascii="宋体" w:hAnsi="宋体" w:eastAsia="宋体" w:cs="宋体"/>
          <w:sz w:val="24"/>
        </w:rPr>
        <w:t>，直到全部技术总分扣完为止。</w:t>
      </w:r>
    </w:p>
    <w:p w14:paraId="6F61FDF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3.具有完全自主著作权，须提供加盖制造商鲜章的著作权复印件，如满足，得5分。</w:t>
      </w:r>
    </w:p>
    <w:p w14:paraId="5C088EF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4.制造厂商（拥有“经济大数据自动化机器人”软件著作权视为制造厂商）直接投标，得20分。如非制造厂商投标，需提供制造厂商授权函和售后服务承诺函原件，得5分。否则不得分。</w:t>
      </w:r>
    </w:p>
    <w:p w14:paraId="37C2657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5.软件中配有上课使用的教学PPT。需现场或远程演示。如满足，得5分。</w:t>
      </w:r>
    </w:p>
    <w:p w14:paraId="564F984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6.投标人具有强大的师资力量和丰富的培训经验，股东具有高校教师背景，并能提供高校教师资格证复印件。如满足，得5分。</w:t>
      </w:r>
    </w:p>
    <w:p w14:paraId="31F255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企业技术保障：按投标人提交的售后服务方案，包含但不限于售后服务措施（保修期、维护保养及应急维修安排方案，及拟投入本项目的软件工程师等技术服务人员在本单位服务期间缴纳的至少6个月的社保凭证）。如满足，得5分。</w:t>
      </w:r>
    </w:p>
    <w:p w14:paraId="150456B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 投标人实施方案（包含但不限于质量保证、交货期、安装调试、验收等内容）的科学性、合理性等情况。满分5分。</w:t>
      </w:r>
      <w:bookmarkEnd w:id="1"/>
    </w:p>
    <w:p w14:paraId="0C6B42A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rPr>
      </w:pPr>
    </w:p>
    <w:p w14:paraId="240776F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8FBF5">
    <w:pPr>
      <w:pStyle w:val="6"/>
      <w:rPr>
        <w:rFonts w:hint="eastAsia"/>
      </w:rPr>
    </w:pPr>
    <w:bookmarkStart w:id="2" w:name="_Hlk178243777"/>
    <w:r>
      <w:rPr>
        <w:rFonts w:hint="eastAsia" w:eastAsia="微软雅黑"/>
      </w:rPr>
      <w:drawing>
        <wp:inline distT="0" distB="0" distL="0" distR="0">
          <wp:extent cx="1325880" cy="237490"/>
          <wp:effectExtent l="0" t="0" r="7620" b="1016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2"/>
    <w:r>
      <w:t> </w:t>
    </w:r>
    <w:r>
      <w:rPr>
        <w:rFonts w:hint="eastAsia"/>
      </w:rPr>
      <w:t xml:space="preserve">    </w:t>
    </w:r>
    <w:r>
      <w:t> www.jiecl.com  微信公众号：</w:t>
    </w:r>
    <w:r>
      <w:rPr>
        <w:rFonts w:hint="eastAsia"/>
        <w:lang w:eastAsia="zh-CN"/>
      </w:rPr>
      <w:t>杰科力AI教学</w:t>
    </w:r>
    <w:r>
      <w:t>    TEL:028-81711073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65A81F"/>
    <w:multiLevelType w:val="singleLevel"/>
    <w:tmpl w:val="0865A81F"/>
    <w:lvl w:ilvl="0" w:tentative="0">
      <w:start w:val="1"/>
      <w:numFmt w:val="decimal"/>
      <w:suff w:val="nothing"/>
      <w:lvlText w:val="%1．"/>
      <w:lvlJc w:val="left"/>
      <w:pPr>
        <w:ind w:left="0" w:firstLine="400"/>
      </w:pPr>
      <w:rPr>
        <w:rFonts w:hint="default"/>
      </w:rPr>
    </w:lvl>
  </w:abstractNum>
  <w:abstractNum w:abstractNumId="1">
    <w:nsid w:val="16C831B0"/>
    <w:multiLevelType w:val="singleLevel"/>
    <w:tmpl w:val="16C831B0"/>
    <w:lvl w:ilvl="0" w:tentative="0">
      <w:start w:val="1"/>
      <w:numFmt w:val="decimal"/>
      <w:suff w:val="nothing"/>
      <w:lvlText w:val="%1．"/>
      <w:lvlJc w:val="left"/>
      <w:pPr>
        <w:ind w:left="0" w:firstLine="4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2MmE2ZDFiYmQ5MGQwY2EzODc5MjJiYWQzN2FhMzQifQ=="/>
  </w:docVars>
  <w:rsids>
    <w:rsidRoot w:val="7C076BFE"/>
    <w:rsid w:val="00BF52BD"/>
    <w:rsid w:val="01B50CDA"/>
    <w:rsid w:val="01DB6127"/>
    <w:rsid w:val="0C9615C8"/>
    <w:rsid w:val="29DA302D"/>
    <w:rsid w:val="35F8244B"/>
    <w:rsid w:val="51330760"/>
    <w:rsid w:val="52D04EFF"/>
    <w:rsid w:val="623D3005"/>
    <w:rsid w:val="62522A10"/>
    <w:rsid w:val="7C076BFE"/>
    <w:rsid w:val="7CE15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semiHidden/>
    <w:unhideWhenUsed/>
    <w:qFormat/>
    <w:uiPriority w:val="99"/>
    <w:pPr>
      <w:spacing w:after="120"/>
      <w:ind w:left="420" w:leftChars="200"/>
    </w:pPr>
  </w:style>
  <w:style w:type="paragraph" w:styleId="4">
    <w:name w:val="Plain Text"/>
    <w:basedOn w:val="1"/>
    <w:qFormat/>
    <w:uiPriority w:val="0"/>
    <w:rPr>
      <w:rFonts w:hint="eastAsia" w:ascii="宋体" w:hAnsi="Courier New" w:eastAsia="宋体" w:cs="Times New Roman"/>
      <w:szCs w:val="2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line="360" w:lineRule="auto"/>
      <w:ind w:firstLine="880" w:firstLineChars="200"/>
      <w:jc w:val="left"/>
    </w:pPr>
    <w:rPr>
      <w:rFonts w:ascii="Calibri" w:hAnsi="Calibri"/>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4484</Words>
  <Characters>4651</Characters>
  <Lines>0</Lines>
  <Paragraphs>0</Paragraphs>
  <TotalTime>1</TotalTime>
  <ScaleCrop>false</ScaleCrop>
  <LinksUpToDate>false</LinksUpToDate>
  <CharactersWithSpaces>4666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2025-02-13T08:51:00Z</dcterms:created>
  <dc:creator>肥嘟好肥</dc:creator>
  <cp:lastModifiedBy>……</cp:lastModifiedBy>
  <dcterms:modified xsi:type="dcterms:W3CDTF">2026-07-30T08:38:38Z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0B4B430A95E945BCA1AB5E120532A80B_11</vt:lpwstr>
  </property>
  <property fmtid="{D5CDD505-2E9C-101B-9397-08002B2CF9AE}" pid="4" name="KSOTemplateDocerSaveRecord">
    <vt:lpwstr>eyJoZGlkIjoiMDdkMTYyYzNlNmNmMmQwMDlmZGQ3YTBmNDUyMGVhMWUiLCJ1c2VySWQiOiI0MDM0NDIxMzIifQ==</vt:lpwstr>
  </property>
</Properties>
</file>