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数字经济AI智能体设计实训平台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数字经济AI智能体设计实训平台</w:t>
      </w:r>
      <w:bookmarkStart w:id="0" w:name="_Hlk117687846"/>
      <w:r>
        <w:rPr>
          <w:rFonts w:hint="eastAsia" w:ascii="宋体" w:hAnsi="宋体" w:eastAsia="宋体" w:cs="宋体"/>
          <w:sz w:val="24"/>
          <w:lang w:eastAsia="zh-CN"/>
        </w:rPr>
        <w:t>以智能体自动化替代人工重复检索、筛选、测算工作，依托大模型与接口自动化技术，自动完成选题发掘、文献解析、数据抓取、指标检验、内容二次创作等任务。学生依托各智能体分步实操，熟悉需求梳理、Coze工作流搭建、Trae代码生成与网页部署全流程，锤炼数据获取清洗、AI应用开发、产品落地实操能力。</w:t>
      </w:r>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5DF3712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lang w:val="en-US" w:eastAsia="zh-CN"/>
        </w:rPr>
        <w:t>一</w:t>
      </w:r>
      <w:r>
        <w:rPr>
          <w:rFonts w:hint="eastAsia" w:ascii="宋体" w:hAnsi="宋体" w:eastAsia="宋体" w:cs="宋体"/>
          <w:b/>
          <w:bCs/>
          <w:sz w:val="24"/>
        </w:rPr>
        <w:t>、</w:t>
      </w:r>
      <w:r>
        <w:rPr>
          <w:rFonts w:hint="eastAsia" w:ascii="宋体" w:hAnsi="宋体" w:eastAsia="宋体" w:cs="宋体"/>
          <w:b/>
          <w:bCs/>
          <w:sz w:val="24"/>
          <w:lang w:val="en-US" w:eastAsia="zh-CN"/>
        </w:rPr>
        <w:t>功能</w:t>
      </w:r>
      <w:r>
        <w:rPr>
          <w:rFonts w:hint="eastAsia" w:ascii="宋体" w:hAnsi="宋体" w:eastAsia="宋体" w:cs="宋体"/>
          <w:b/>
          <w:bCs/>
          <w:sz w:val="24"/>
        </w:rPr>
        <w:t>（加★号项需现场或远程演示，否则不作为中标候选人）</w:t>
      </w:r>
    </w:p>
    <w:p w14:paraId="6752C34B">
      <w:pPr>
        <w:keepNext w:val="0"/>
        <w:keepLines w:val="0"/>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4"/>
          <w:szCs w:val="24"/>
        </w:rPr>
      </w:pPr>
      <w:r>
        <w:rPr>
          <w:rFonts w:hint="eastAsia" w:ascii="宋体" w:hAnsi="宋体" w:eastAsia="宋体" w:cs="宋体"/>
          <w:sz w:val="24"/>
          <w:lang w:eastAsia="zh-CN"/>
        </w:rPr>
        <w:t>数字经济AI智能体设计实训平台依托 Trae IDE完成提示词编写、智能体脚本开发全链路实训，循序渐进训练需求拆解、提示词工程、Skill编排、项目部署落地实操能力。配套八大贴合经管真实业务的综合实验，覆盖科研辅助、金融量化、新媒体运营三大场景，引导学生区分数据库驱动型、纯工具型两类智能体项目，掌握项目边界定义、多模态知识库调用、智能脚本设计与自测验证完整流程。</w:t>
      </w:r>
      <w:r>
        <w:rPr>
          <w:rFonts w:hint="eastAsia" w:ascii="宋体" w:hAnsi="宋体" w:eastAsia="宋体" w:cs="宋体"/>
          <w:sz w:val="24"/>
          <w:szCs w:val="24"/>
        </w:rPr>
        <w:t>实验内容与项目涵盖</w:t>
      </w:r>
      <w:r>
        <w:rPr>
          <w:rFonts w:hint="eastAsia" w:ascii="宋体" w:hAnsi="宋体" w:eastAsia="宋体" w:cs="宋体"/>
          <w:sz w:val="24"/>
          <w:szCs w:val="24"/>
          <w:lang w:val="en-US" w:eastAsia="zh-CN"/>
        </w:rPr>
        <w:t>8</w:t>
      </w:r>
      <w:r>
        <w:rPr>
          <w:rFonts w:hint="eastAsia" w:ascii="宋体" w:hAnsi="宋体" w:eastAsia="宋体" w:cs="宋体"/>
          <w:sz w:val="24"/>
          <w:szCs w:val="24"/>
        </w:rPr>
        <w:t>大实验案例，包括：</w:t>
      </w:r>
    </w:p>
    <w:p w14:paraId="0029F41C">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经管论文选题智能体设计实验</w:t>
      </w:r>
    </w:p>
    <w:p w14:paraId="29DCD064">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计量数据推荐智能体设计实验</w:t>
      </w:r>
    </w:p>
    <w:p w14:paraId="56744ECB">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选题测评智能体设计实验</w:t>
      </w:r>
    </w:p>
    <w:p w14:paraId="0F9574C9">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财务报表分析智能体设计实验</w:t>
      </w:r>
    </w:p>
    <w:p w14:paraId="28E257DA">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经管论文解读智能体设计实验</w:t>
      </w:r>
    </w:p>
    <w:p w14:paraId="0EB84724">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新股因子研判智能体设计实验</w:t>
      </w:r>
    </w:p>
    <w:p w14:paraId="0E9AABB1">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小红书账号分析与二次创作智能体设计实验</w:t>
      </w:r>
    </w:p>
    <w:p w14:paraId="7393D2B0">
      <w:pPr>
        <w:keepNext w:val="0"/>
        <w:keepLines w:val="0"/>
        <w:pageBreakBefore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盘前财经资讯研判智能体设计实验</w:t>
      </w:r>
    </w:p>
    <w:p w14:paraId="15CEF8B9">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这些实验为本平台的核心功能，如缺少其中任何一个，均不作为中标候选人。</w:t>
      </w:r>
    </w:p>
    <w:p w14:paraId="65F5155C">
      <w:pPr>
        <w:keepNext w:val="0"/>
        <w:keepLines w:val="0"/>
        <w:pageBreakBefore w:val="0"/>
        <w:numPr>
          <w:ilvl w:val="0"/>
          <w:numId w:val="2"/>
        </w:numPr>
        <w:kinsoku/>
        <w:wordWrap/>
        <w:overflowPunct/>
        <w:topLinePunct w:val="0"/>
        <w:autoSpaceDE/>
        <w:autoSpaceDN/>
        <w:bidi w:val="0"/>
        <w:adjustRightInd w:val="0"/>
        <w:snapToGrid w:val="0"/>
        <w:spacing w:beforeAutospacing="0" w:afterAutospacing="0" w:line="360" w:lineRule="auto"/>
        <w:ind w:left="0" w:leftChars="0" w:firstLine="420" w:firstLineChars="0"/>
        <w:textAlignment w:val="auto"/>
        <w:rPr>
          <w:rFonts w:hint="eastAsia" w:ascii="宋体" w:hAnsi="宋体" w:eastAsia="宋体" w:cs="宋体"/>
          <w:sz w:val="24"/>
          <w:szCs w:val="24"/>
        </w:rPr>
      </w:pPr>
      <w:r>
        <w:rPr>
          <w:rFonts w:hint="eastAsia" w:ascii="宋体" w:hAnsi="宋体" w:eastAsia="宋体" w:cs="宋体"/>
          <w:sz w:val="24"/>
        </w:rPr>
        <w:t>各实验案例功能参数</w:t>
      </w:r>
    </w:p>
    <w:p w14:paraId="7DECA511">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★经管论文选题智能体设计实验</w:t>
      </w:r>
    </w:p>
    <w:p w14:paraId="07A27EF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实验以数据库驱动的智能体开发为核心，引导学生明确项目边界与开发逻辑，依托期刊论文数据库资源，结合Trae工具完成代码生成、功能开发与网页部署。学生需自主设计智能体执行脚本，明确项目目标、开发要求、输出成果与实操步骤，完成智能体SKILL部署与效果验证。该智能体可精准检索中外学术文献，梳理研究脉络、提炼热点方向，一站式实现文献搜集、选题研判与创新选题生成。</w:t>
      </w:r>
    </w:p>
    <w:p w14:paraId="2854A03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了解选题智能体项目类型与关键词输入规则、了解SKILL的核心特征、了解SKILL强制规范</w:t>
      </w:r>
    </w:p>
    <w:p w14:paraId="076C994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依据期刊数据源规范，编写文献检索与选题生成提示词脚本</w:t>
      </w:r>
    </w:p>
    <w:p w14:paraId="3AAA0CA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借助Trae SOLO工具，由提示词自动生成选题智能体项目代码</w:t>
      </w:r>
    </w:p>
    <w:p w14:paraId="3FF49A0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本地运行脚本，输入研究主题验证文献检索、选题生成输出效果</w:t>
      </w:r>
    </w:p>
    <w:p w14:paraId="7C9954F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按照SKILL规范整理项目文件，在平台完成SKILL部署</w:t>
      </w:r>
    </w:p>
    <w:p w14:paraId="7C715A9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平台调用已部署智能体，输入关键词全流程实测选题智能体功能</w:t>
      </w:r>
    </w:p>
    <w:p w14:paraId="27C73A3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导出文献清单、选题报告文档，完成项目资料归档</w:t>
      </w:r>
    </w:p>
    <w:p w14:paraId="6C46C5F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复盘智能体开发全流程、总结选题智能体科研应用价值、梳理后续优化方向</w:t>
      </w:r>
    </w:p>
    <w:p w14:paraId="29C89FB8">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生成结构化经管论文选题方案，含创新点、研究重点、推荐理由、参考文献与写作建议等</w:t>
      </w:r>
    </w:p>
    <w:p w14:paraId="046EAC8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输出中外核心期刊/UTD外刊文献检索清单，支持按主题、时间筛选</w:t>
      </w:r>
    </w:p>
    <w:p w14:paraId="72FAB6D7">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★计量数据推荐智能体设计实验</w:t>
      </w:r>
    </w:p>
    <w:p w14:paraId="2D62C98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实验依托大模型语义检索技术与数据集数据库接口，教学生学会设计开发计量数据推荐智能体。该智能体可对接多类数据库资源，支持基于研究主题、关键词的定向数据检索，批量归集宏观、行业、企业多维度计量数据，智能推荐核心变量、控制变量与代理变量，同时支持自定义筛选条件，有效简化计量数据处理的重复性工作。本实验聚焦智能体项目设计与落地部署，帮助学生明晰智能体项目边界、类型与应用逻辑，掌握不同数据库的智能体开发思路。</w:t>
      </w:r>
    </w:p>
    <w:p w14:paraId="5C6BB1C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了解计量数据推荐智能体项目类型与变量/主题输入规则、了解SKILL的核心特征、了解SKILL强制规范</w:t>
      </w:r>
    </w:p>
    <w:p w14:paraId="02EF16F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研读数据集数据库接口、DataSet_GetById接口两份文档，梳理字段与调用规则</w:t>
      </w:r>
    </w:p>
    <w:p w14:paraId="794BBD20">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依据计量数据源规范，编写数据集检索与变量推荐提示词脚本</w:t>
      </w:r>
    </w:p>
    <w:p w14:paraId="425FBA3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借助Trae SOLO工具，由提示词自动生成计量数据推荐智能体项目代码</w:t>
      </w:r>
    </w:p>
    <w:p w14:paraId="55C812F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本地运行脚本，输入研究主题（如“新质生产力与碳排放”），验证数据集检索、变量匹配与结构化输出效果</w:t>
      </w:r>
    </w:p>
    <w:p w14:paraId="4336E4B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按照SKILL规范整理项目文件，在平台完成SKILL部署 </w:t>
      </w:r>
    </w:p>
    <w:p w14:paraId="38B04DD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平台调用已部署智能体，输入关键词全流程实测计量数据推荐智能体功能</w:t>
      </w:r>
    </w:p>
    <w:p w14:paraId="39BCD1E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导出适配数据集清单、变量推荐文档，完成项目资料归档</w:t>
      </w:r>
    </w:p>
    <w:p w14:paraId="260365F2">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复盘智能体开发全流程、总结科研应用价值、梳理后续优化方向</w:t>
      </w:r>
    </w:p>
    <w:p w14:paraId="7E3D806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输出适配研究主题的计量数据集清单与核心变量（被解释/解释/控制变量）推荐表</w:t>
      </w:r>
    </w:p>
    <w:p w14:paraId="78FB2DE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生成变量测量方式、数据来源与时间跨度说明文档</w:t>
      </w:r>
    </w:p>
    <w:p w14:paraId="5695A45C">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★选题测评智能体设计实验</w:t>
      </w:r>
    </w:p>
    <w:p w14:paraId="425943F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选题测评智能体设计实验依托向量检索技术、国社科选题库、中外期刊数据库及各类学术数据接口，搭建智能化评估体系，从政策匹配度、期刊适配性、数据可得性、模型可行性多维度对论文选题进行综合测评，自动生成结构化Markdown报告，为学生选题优化提供科学指导。</w:t>
      </w:r>
    </w:p>
    <w:p w14:paraId="2B3AB8A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了解选题测评智能体项目类型与输入规则（研究主题、变量、模型等）、了解SKILL的核心特征、了解SKILL强制规范</w:t>
      </w:r>
    </w:p>
    <w:p w14:paraId="0425CEA9">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研读向量检索、国社科选题库、期刊匹配接口文档，梳理字段与调用规则</w:t>
      </w:r>
    </w:p>
    <w:p w14:paraId="0E2829F2">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编写选题测评提示词脚本，定义字段提取、参数整合、多维度评估逻辑</w:t>
      </w:r>
    </w:p>
    <w:p w14:paraId="1BFC0D6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借助AI工具，自动生成选题测评智能体项目代码</w:t>
      </w:r>
    </w:p>
    <w:p w14:paraId="19B9FB92">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本地运行脚本，输入测试选题验证测评报告生成效果</w:t>
      </w:r>
    </w:p>
    <w:p w14:paraId="26CBF75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按照SKILL规范整理项目文件，在Coze平台完成SKILL部署</w:t>
      </w:r>
    </w:p>
    <w:p w14:paraId="3575C21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调用已部署技能，输入选题信息全流程实测智能体功能</w:t>
      </w:r>
    </w:p>
    <w:p w14:paraId="1E166F0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导出结构化测评报告.md文件，完成项目资料归档</w:t>
      </w:r>
    </w:p>
    <w:p w14:paraId="394592D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复盘智能体开发全流程、总结选题测评智能体科研应用价值、梳理后续优化方向</w:t>
      </w:r>
    </w:p>
    <w:p w14:paraId="13F76AF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生成经管论文选题多维度结构化测评报告，含政策匹配度、期刊适配性、数据可得性与模型可行性评估</w:t>
      </w:r>
    </w:p>
    <w:p w14:paraId="52B186F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输出国社科基金选题匹配清单、期刊征稿方向适配建议与变量/模型优化参考</w:t>
      </w:r>
    </w:p>
    <w:p w14:paraId="23694CE3">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★财务报表分析智能体设计实验</w:t>
      </w:r>
    </w:p>
    <w:p w14:paraId="33A2079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次财务报表分析智能体设计实验以工具型智能体开发为实训主线，清晰界定项目输入、功能边界与落地流程。实验融合多格式文档解析技术与Python财务分析工具，引导学生自主编写读取、数据提取、绘图等执行脚本，完成智能体SKILL部署与功能验证。用户可上传年报文件或输入年报链接，依托自研智能体自动完成数据读取、多维度财务指标测算、趋势可视化图表生成，配套智能问答与标准化分析报告输出功能。</w:t>
      </w:r>
    </w:p>
    <w:p w14:paraId="3F6A2B4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了解财务报表分析智能体项目类型与输入规则（年报文件/链接、分析需求）、了解SKILL的核心特征、了解SKILL强制规范</w:t>
      </w:r>
    </w:p>
    <w:p w14:paraId="2A128FD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研读多格式年报解析、财务指标计算、可视化生成接口文档，梳理字段与调用规则</w:t>
      </w:r>
    </w:p>
    <w:p w14:paraId="64D74CE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编写财报分析提示词脚本，定义文件读取、数据提取、多维度分析、趋势对比、可视化生成与智能问答逻辑</w:t>
      </w:r>
    </w:p>
    <w:p w14:paraId="1B27ED4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借助AI工具，自动生成财务报表分析智能体项目代码</w:t>
      </w:r>
    </w:p>
    <w:p w14:paraId="73E7EC2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本地运行脚本，上传测试年报（如科思股份2024年报），验证数据提取、指标计算与可视化生成效果</w:t>
      </w:r>
    </w:p>
    <w:p w14:paraId="58C21C0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按照SKILL规范整理项目文件，在Coze平台完成SKILL部署</w:t>
      </w:r>
    </w:p>
    <w:p w14:paraId="369907A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上传年报文件，调用已部署技能，输入分析指令全流程实测智能体功能</w:t>
      </w:r>
    </w:p>
    <w:p w14:paraId="087C441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导出结构化财务分析报告、可视化图表（柱状图/折线图/饼图）与PDF报告文档，完成项目资料归档</w:t>
      </w:r>
    </w:p>
    <w:p w14:paraId="3880C3D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生成企业年报多维度财务分析报告，含盈利、偿债、运营、成长四大维度指标计算与解读</w:t>
      </w:r>
    </w:p>
    <w:p w14:paraId="1E604DC8">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输出年度趋势对比、关键指标可视化图表（柱状图/折线图/饼图），支持多格式文件导出</w:t>
      </w:r>
    </w:p>
    <w:p w14:paraId="2863818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生成完整PDF格式财务分析报告，含封面、目录、章节解读与核心指标汇总</w:t>
      </w:r>
    </w:p>
    <w:p w14:paraId="4E649BB0">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_Toc30008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经管论文解读智能体设计实验</w:t>
      </w:r>
      <w:r>
        <w:rPr>
          <w:rFonts w:hint="eastAsia" w:ascii="宋体" w:hAnsi="宋体" w:eastAsia="宋体" w:cs="宋体"/>
          <w:b/>
          <w:bCs/>
          <w:sz w:val="24"/>
          <w:lang w:val="en-US" w:eastAsia="zh-CN"/>
        </w:rPr>
        <w:fldChar w:fldCharType="end"/>
      </w:r>
    </w:p>
    <w:p w14:paraId="5BF0E4C0">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本实验聚焦工具型智能体开发实践，以经管外文论文库为数据基础，面向文献深度解读场景搭建专用AI智能体。实验依托多格式文档解析、学术文本分析技术，搭建完整智能体执行脚本与 SKILL 部署验证流程，实现论文读取、多维学术分析、结构化文档输出、公众号推文生成一体化功能。实验设置分层梯度实践任务，从更换解读提示词、拓展解读知识维度，到功能网页部署、日常内容分发，分层锻炼学生项目边界界定、智能体功能设计、脚本开发、成果落地全流程实操能力。</w:t>
      </w:r>
    </w:p>
    <w:p w14:paraId="4AF78790">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了解经管论文解读智能体项目类型与输入规则（论文文件/链接、分析/推文需求）、了解SKILL的核心特征、了解SKILL强制规范</w:t>
      </w:r>
    </w:p>
    <w:p w14:paraId="5AC1D21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研读多格式论文解析、学术文本分析、Markdown生成与数据维度匹配接口文档，梳理字段与调用规则</w:t>
      </w:r>
    </w:p>
    <w:p w14:paraId="380FA7F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编写论文解读提示词脚本，定义论文内容读取、摘要提炼、理论创新剖析、方法论评估、发表策略解构、仿写主题推荐、推文生成与数据更新逻辑</w:t>
      </w:r>
    </w:p>
    <w:p w14:paraId="27A8E098">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借助AI工具，由提示词自动生成经管论文解读智能体项目代码</w:t>
      </w:r>
    </w:p>
    <w:p w14:paraId="60F9412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本地运行脚本，上传测试外文学术论文，验证内容读取、多维度分析与推文生成效果</w:t>
      </w:r>
    </w:p>
    <w:p w14:paraId="05EA382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按照SKILL规范整理项目文件，在Coze平台完成SKILL部署</w:t>
      </w:r>
    </w:p>
    <w:p w14:paraId="462A14D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在对话窗口上传论文文件，调用已部署技能，输入分析/推文生成指令全流程实测智能体功能</w:t>
      </w:r>
    </w:p>
    <w:p w14:paraId="17AC78F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导出结构化论文分析报告、公众号风格Markdown推文文档，完成项目资料归档</w:t>
      </w:r>
    </w:p>
    <w:p w14:paraId="02EB509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生成外文学术论文五维度结构化分析报告，含摘要提炼、理论创新剖析、方法论评估、发表策略解构与仿写主题推荐</w:t>
      </w:r>
    </w:p>
    <w:p w14:paraId="1DACF72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输出适配公众号风格的Markdown推文文档，支持本地文件下载与分享</w:t>
      </w:r>
    </w:p>
    <w:p w14:paraId="0E2F306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完成论文数据维度匹配更新，自动补充研究主题相关数据维度信息</w:t>
      </w:r>
    </w:p>
    <w:p w14:paraId="2D3C9EA0">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★新股因子研判智能体设计实验</w:t>
      </w:r>
    </w:p>
    <w:p w14:paraId="5226167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实验依托新股全量历史数据，结合大模型技术设计新股因子研判智能体。实验涵盖单双因子组合分析、因子显著性检验、阈值探索等核心内容，可实现因子筛选与结果微信推送、风险收益阈值管控，不涉及交易回测。</w:t>
      </w:r>
    </w:p>
    <w:p w14:paraId="4593CF7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了解新股因子研判智能体项目类型与输入规则（新股数据、分析目标）、了解SKILL的核心特征、了解SKILL强制规范</w:t>
      </w:r>
    </w:p>
    <w:p w14:paraId="162D08B8">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研读新股数据库接口文档，梳理IPO发行信息、首日行情、财务数据、多日行情等字段分类与调用规则</w:t>
      </w:r>
    </w:p>
    <w:p w14:paraId="2E852EF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编写因子研判提示词脚本，定义数据分组、显著性分析、单/双因子阈值搜索、阈值放松与结果去重全流程逻辑</w:t>
      </w:r>
    </w:p>
    <w:p w14:paraId="1BE009C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借助Trae SOLO工具，由提示词自动生成新股因子研判智能体项目代码</w:t>
      </w:r>
    </w:p>
    <w:p w14:paraId="4293E6C9">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本地运行脚本，导入新股历史数据，验证分组处理、显著性检验与因子阈值探索效果</w:t>
      </w:r>
    </w:p>
    <w:p w14:paraId="21AA296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按照SKILL规范整理项目文件，完成SKILL部署</w:t>
      </w:r>
    </w:p>
    <w:p w14:paraId="757243A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配置pushplus微信推送服务，获取用户Token并完成智能体对接</w:t>
      </w:r>
    </w:p>
    <w:p w14:paraId="0FD2711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调用已部署技能，输入分析需求全流程实测智能体功能与微信推送效果</w:t>
      </w:r>
    </w:p>
    <w:p w14:paraId="7E203A3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导出去重优化后的高胜率因子组合表CSV文件，同时接收微信推送的实时预警信息，完成项目资料归档</w:t>
      </w:r>
    </w:p>
    <w:p w14:paraId="51D0C1F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输出新股高胜率双因子组合清单（CSV表格），包含指标名、方向、原始阈值、最宽松阈值、放松步数、满足样本量、达标样本量、胜率及对应股票案例</w:t>
      </w:r>
    </w:p>
    <w:p w14:paraId="2D1D5AC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清单中所有因子组合胜率≥80%，单/双因子阈值经过显著性检验、多轮放松与去重优化，可直接用于新股投资机会筛选</w:t>
      </w:r>
    </w:p>
    <w:p w14:paraId="5F96B4C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实现微信推送功能，新股符合因子规则时可自动推送预警信息，支持实时获取投资机会</w:t>
      </w:r>
    </w:p>
    <w:p w14:paraId="4505BD65">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★小红书账号分析与二次创作智能体设计实验</w:t>
      </w:r>
    </w:p>
    <w:p w14:paraId="6A470EF0">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小红书账号分析与内容二创智能体（红书智绘）依托Coze工作流与Trae开发工具，通过自动化数据获取、结构化账号画像分析与AI内容重构，一站式解决账号全维分析和爆款笔记二创两大需求，帮助用户快速获取竞品账号报告、仿写爆款文案，提升内容创作效率与运营决策的科学性。</w:t>
      </w:r>
    </w:p>
    <w:p w14:paraId="164C8E6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了解项目输入规则，掌握博主主页链接、小红书Cookie、爆款笔记链接等输入要求</w:t>
      </w:r>
    </w:p>
    <w:p w14:paraId="3EFE88B8">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熟悉SKILL的核心特征与强制规范，明确项目开发边界</w:t>
      </w:r>
    </w:p>
    <w:p w14:paraId="000846C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安装小红书Cookie浏览器插件，登录账号并复制Cookie，完成鉴权信息获取</w:t>
      </w:r>
    </w:p>
    <w:p w14:paraId="2092B1E5">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进入Coze平台，添加并配置小红书数据插件，实现账号笔记、笔记内容抓取功能</w:t>
      </w:r>
    </w:p>
    <w:p w14:paraId="3374E02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搭建账号分析工作流，依次配置开始节点、插件调用节点、LLM分析节点与结束节点</w:t>
      </w:r>
    </w:p>
    <w:p w14:paraId="075C6C0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搭建笔记仿写工作流，依次配置开始节点、内容获取节点、LLM二创节点与结束节点</w:t>
      </w:r>
    </w:p>
    <w:p w14:paraId="733DDC7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发布已搭建的工作流，获取对应API密钥，完成接口部署</w:t>
      </w:r>
    </w:p>
    <w:p w14:paraId="728CEAD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编写项目需求文档，明确工具定位、两大核心模块功能逻辑</w:t>
      </w:r>
    </w:p>
    <w:p w14:paraId="54C76923">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整理API接口信息、请求参数与返回格式，制定页面布局、风格等UI设计要求</w:t>
      </w:r>
    </w:p>
    <w:p w14:paraId="7AD2B4B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下载并安装Trae开发工具，完成软件基础配置</w:t>
      </w:r>
    </w:p>
    <w:p w14:paraId="3319DD3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依据需求文档，使用对话式开发生成前端页面与API调用代码</w:t>
      </w:r>
    </w:p>
    <w:p w14:paraId="3B4255F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运行项目并逐项测试账号分析、笔记仿写功能，排查问题并调试代码</w:t>
      </w:r>
    </w:p>
    <w:p w14:paraId="769E482C">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根据测试结果优化界面布局、交互逻辑，完善整体功能体验</w:t>
      </w:r>
    </w:p>
    <w:p w14:paraId="0E51EC1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输出小红书账号结构化分析报告、爆款笔记二创文案及配套标签</w:t>
      </w:r>
    </w:p>
    <w:p w14:paraId="37187579">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完成Coze平台账号分析、笔记仿写两套工作流搭建与发布，实现数据自动抓取与AI分析创作</w:t>
      </w:r>
    </w:p>
    <w:p w14:paraId="5F7D00B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输出规范完整的项目需求文档，包含业务说明、功能清单、API参数及UI设计要求</w:t>
      </w:r>
    </w:p>
    <w:p w14:paraId="7F1E3A2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基于Trae开发出可正常运行的网页应用，实现账号查询、笔记二创可视化操作</w:t>
      </w:r>
    </w:p>
    <w:p w14:paraId="1AAB1E59">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生成小红书账号全维度分析报告、含标题、正文、标签的爆款笔记二创内容</w:t>
      </w:r>
    </w:p>
    <w:p w14:paraId="02786451">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★盘前财经资讯研判智能体设计实验</w:t>
      </w:r>
    </w:p>
    <w:p w14:paraId="7E207FC7">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盘前财经资讯研判智能体使用Trae IDE对接多源财经RSS接口，实现“抓取→过滤→分析→推送”四步闭环：自动抓取RSS资讯，区分自变量（预测类，保留）与因变量（已发生事实，丢弃），做板块归类、情绪判断（利好/利空/中性）与重要性评分（1-5分），输出速览页（板块热度图+预测类资讯列表）、五段式Markdown简报、板块推演页、订阅页四类功能，并通过Pushplus微信推送在9:25完成盘前定时推送，辅助开盘前 5分钟决策。项目最终部署到腾讯云轻量应用服务器，实现公网可访问。</w:t>
      </w:r>
    </w:p>
    <w:p w14:paraId="1D2142B0">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理解盘前四大痛点；明确“只抓预测类+板块分类+9:25自动推送”差异化方向</w:t>
      </w:r>
    </w:p>
    <w:p w14:paraId="7BFE736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通过Trae完成同花顺、财联社、华尔街见闻、自选股APP等同类工具竞品对标，明确“自变量vs因变量”过滤、板块归类、9:25自动推送的差异化方向</w:t>
      </w:r>
    </w:p>
    <w:p w14:paraId="28E6F29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对接财经RSS源，梳理四个关键字段</w:t>
      </w:r>
    </w:p>
    <w:p w14:paraId="251EE18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按“目的—要求—输出—步骤”四要素框架编写提示词，与Trae完成6轮以上对话（口语化需求→PRD→代码）</w:t>
      </w:r>
    </w:p>
    <w:p w14:paraId="06BC52F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通过通义千问/Kimi/DeepSeek等多模型交叉校验产品需求文档。</w:t>
      </w:r>
    </w:p>
    <w:p w14:paraId="56C1E39F">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汇总所有要求，一键生成完整项目代码</w:t>
      </w:r>
    </w:p>
    <w:p w14:paraId="25D35F1D">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运行脚本，本地验证速览页、简报页、板块推演页、订阅页四类功能是否正常</w:t>
      </w:r>
    </w:p>
    <w:p w14:paraId="4E8AF2FB">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按“描述现状→说明差异→AI修复→验证效果”解决真实问题</w:t>
      </w:r>
    </w:p>
    <w:p w14:paraId="304CA3C1">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注册腾讯云，完成实名认证，创建Python 3.8+应用镜像服务器</w:t>
      </w:r>
    </w:p>
    <w:p w14:paraId="5C2E8D1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用自然语言描述目标，AI输出环境配置+启动服务全套步骤</w:t>
      </w:r>
    </w:p>
    <w:p w14:paraId="5214190E">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访问公网验证服务可用</w:t>
      </w:r>
    </w:p>
    <w:p w14:paraId="2873612A">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搭建完整的盘前财经资讯研判智能体系统，部署到腾讯云公网可访问，实现“抓取→过滤→分析→推送”4步闭环。</w:t>
      </w:r>
    </w:p>
    <w:p w14:paraId="7F65B4A4">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实现预测类资讯自动抓取与自变量/因变量精准区分，输出板块热度图与五段式 Markdown简报（核心预判/热点板块推演/关键自变量资讯/因变量参考/风险提示）。</w:t>
      </w:r>
    </w:p>
    <w:p w14:paraId="7F234656">
      <w:pPr>
        <w:pStyle w:val="7"/>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对接Pushplus实现9:25微信定时推送，订阅者绑定板块后每天开盘前5分钟自动接收盘前研判。</w:t>
      </w:r>
    </w:p>
    <w:p w14:paraId="4DA64F0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bookmarkStart w:id="1" w:name="_Hlk117690077"/>
      <w:r>
        <w:rPr>
          <w:rFonts w:hint="eastAsia" w:ascii="宋体" w:hAnsi="宋体" w:eastAsia="宋体" w:cs="宋体"/>
          <w:b/>
          <w:bCs/>
          <w:sz w:val="24"/>
        </w:rPr>
        <w:t>二、评分指标</w:t>
      </w:r>
    </w:p>
    <w:p w14:paraId="244968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8</w:t>
      </w:r>
      <w:r>
        <w:rPr>
          <w:rFonts w:hint="eastAsia" w:ascii="宋体" w:hAnsi="宋体" w:eastAsia="宋体" w:cs="宋体"/>
          <w:sz w:val="24"/>
        </w:rPr>
        <w:t>，直到全部技术总分扣完为止。</w:t>
      </w:r>
    </w:p>
    <w:p w14:paraId="080837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2.现场或远程展示以上</w:t>
      </w:r>
      <w:r>
        <w:rPr>
          <w:rFonts w:hint="eastAsia" w:ascii="宋体" w:hAnsi="宋体" w:eastAsia="宋体" w:cs="宋体"/>
          <w:sz w:val="24"/>
          <w:lang w:val="en-US" w:eastAsia="zh-CN"/>
        </w:rPr>
        <w:t>8</w:t>
      </w:r>
      <w:r>
        <w:rPr>
          <w:rFonts w:hint="eastAsia" w:ascii="宋体" w:hAnsi="宋体" w:eastAsia="宋体" w:cs="宋体"/>
          <w:sz w:val="24"/>
        </w:rPr>
        <w:t>个</w:t>
      </w:r>
      <w:r>
        <w:rPr>
          <w:rFonts w:hint="eastAsia" w:ascii="宋体" w:hAnsi="宋体" w:eastAsia="宋体" w:cs="宋体"/>
          <w:sz w:val="24"/>
          <w:lang w:val="en-US" w:eastAsia="zh-CN"/>
        </w:rPr>
        <w:t>案例</w:t>
      </w:r>
      <w:r>
        <w:rPr>
          <w:rFonts w:hint="eastAsia" w:ascii="宋体" w:hAnsi="宋体" w:eastAsia="宋体" w:cs="宋体"/>
          <w:sz w:val="24"/>
        </w:rPr>
        <w:t>实验的</w:t>
      </w:r>
      <w:r>
        <w:rPr>
          <w:rFonts w:hint="eastAsia" w:ascii="宋体" w:hAnsi="宋体" w:eastAsia="宋体" w:cs="宋体"/>
          <w:sz w:val="24"/>
          <w:lang w:val="en-US" w:eastAsia="zh-CN"/>
        </w:rPr>
        <w:t>资源包、实验内容及成果示例</w:t>
      </w:r>
      <w:r>
        <w:rPr>
          <w:rFonts w:hint="eastAsia" w:ascii="宋体" w:hAnsi="宋体" w:eastAsia="宋体" w:cs="宋体"/>
          <w:sz w:val="24"/>
        </w:rPr>
        <w:t>，并讲解</w:t>
      </w:r>
      <w:r>
        <w:rPr>
          <w:rFonts w:hint="eastAsia" w:ascii="宋体" w:hAnsi="宋体" w:eastAsia="宋体" w:cs="宋体"/>
          <w:sz w:val="24"/>
          <w:lang w:val="en-US" w:eastAsia="zh-CN"/>
        </w:rPr>
        <w:t>项目</w:t>
      </w:r>
      <w:r>
        <w:rPr>
          <w:rFonts w:hint="eastAsia" w:ascii="宋体" w:hAnsi="宋体" w:eastAsia="宋体" w:cs="宋体"/>
          <w:sz w:val="24"/>
        </w:rPr>
        <w:t>流程逻辑，如不能展示</w:t>
      </w:r>
      <w:r>
        <w:rPr>
          <w:rFonts w:hint="eastAsia" w:ascii="宋体" w:hAnsi="宋体" w:eastAsia="宋体" w:cs="宋体"/>
          <w:sz w:val="24"/>
          <w:lang w:val="en-US" w:eastAsia="zh-CN"/>
        </w:rPr>
        <w:t>案例成果及过程</w:t>
      </w:r>
      <w:r>
        <w:rPr>
          <w:rFonts w:hint="eastAsia" w:ascii="宋体" w:hAnsi="宋体" w:eastAsia="宋体" w:cs="宋体"/>
          <w:sz w:val="24"/>
        </w:rPr>
        <w:t>，或讲解</w:t>
      </w:r>
      <w:r>
        <w:rPr>
          <w:rFonts w:hint="eastAsia" w:ascii="宋体" w:hAnsi="宋体" w:eastAsia="宋体" w:cs="宋体"/>
          <w:sz w:val="24"/>
          <w:lang w:val="en-US" w:eastAsia="zh-CN"/>
        </w:rPr>
        <w:t>项目</w:t>
      </w:r>
      <w:r>
        <w:rPr>
          <w:rFonts w:hint="eastAsia" w:ascii="宋体" w:hAnsi="宋体" w:eastAsia="宋体" w:cs="宋体"/>
          <w:sz w:val="24"/>
        </w:rPr>
        <w:t>流程逻辑，每个扣技术总分的1/</w:t>
      </w:r>
      <w:r>
        <w:rPr>
          <w:rFonts w:hint="eastAsia" w:ascii="宋体" w:hAnsi="宋体" w:eastAsia="宋体" w:cs="宋体"/>
          <w:sz w:val="24"/>
          <w:lang w:val="en-US" w:eastAsia="zh-CN"/>
        </w:rPr>
        <w:t>8</w:t>
      </w:r>
      <w:r>
        <w:rPr>
          <w:rFonts w:hint="eastAsia" w:ascii="宋体" w:hAnsi="宋体" w:eastAsia="宋体" w:cs="宋体"/>
          <w:sz w:val="24"/>
        </w:rPr>
        <w:t>，直到全部技术总分扣完为止。</w:t>
      </w:r>
    </w:p>
    <w:p w14:paraId="37C265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.软件中配有上课使用的教学PPT。需现场或远程演示。如满足，得5分。</w:t>
      </w:r>
    </w:p>
    <w:p w14:paraId="564F98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.投标人具有强大的师资力量和丰富的培训经验，股东具有高校教师背景，并能提供高校教师资格证复印件。如满足，得5分。</w:t>
      </w:r>
    </w:p>
    <w:p w14:paraId="31F255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6</w:t>
      </w:r>
      <w:bookmarkStart w:id="3" w:name="_GoBack"/>
      <w:bookmarkEnd w:id="3"/>
      <w:r>
        <w:rPr>
          <w:rFonts w:hint="eastAsia" w:ascii="宋体" w:hAnsi="宋体" w:eastAsia="宋体" w:cs="宋体"/>
          <w:sz w:val="24"/>
        </w:rPr>
        <w:t>. 投标人实施方案（包含但不限于质量保证、交货期、安装调试、验收等内容）的科学性、合理性等情况。满分5分。</w:t>
      </w:r>
      <w:bookmarkEnd w:id="1"/>
    </w:p>
    <w:p w14:paraId="0C6B42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p>
    <w:p w14:paraId="240776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5"/>
      <w:rPr>
        <w:rFonts w:hint="eastAsia"/>
      </w:rPr>
    </w:pPr>
    <w:bookmarkStart w:id="2" w:name="_Hlk178243777"/>
    <w:r>
      <w:rPr>
        <w:rFonts w:hint="eastAsia" w:eastAsia="微软雅黑"/>
      </w:rPr>
      <w:drawing>
        <wp:inline distT="0" distB="0" distL="0" distR="0">
          <wp:extent cx="1325880" cy="237490"/>
          <wp:effectExtent l="0" t="0" r="7620" b="1016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076BFE"/>
    <w:rsid w:val="01B50CDA"/>
    <w:rsid w:val="3EED37EB"/>
    <w:rsid w:val="52D04EFF"/>
    <w:rsid w:val="623D3005"/>
    <w:rsid w:val="6B72066F"/>
    <w:rsid w:val="7C076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semiHidden/>
    <w:unhideWhenUsed/>
    <w:qFormat/>
    <w:uiPriority w:val="99"/>
    <w:pPr>
      <w:spacing w:after="120"/>
      <w:ind w:left="420" w:leftChars="200"/>
    </w:pPr>
  </w:style>
  <w:style w:type="paragraph" w:styleId="3">
    <w:name w:val="Plain Text"/>
    <w:basedOn w:val="1"/>
    <w:qFormat/>
    <w:uiPriority w:val="0"/>
    <w:rPr>
      <w:rFonts w:hint="eastAsia" w:ascii="宋体" w:hAnsi="Courier New"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line="360" w:lineRule="auto"/>
      <w:ind w:firstLine="880" w:firstLineChars="200"/>
      <w:jc w:val="left"/>
    </w:pPr>
    <w:rPr>
      <w:rFonts w:ascii="Calibri" w:hAnsi="Calibri"/>
      <w:kern w:val="0"/>
      <w:sz w:val="24"/>
    </w:rPr>
  </w:style>
  <w:style w:type="paragraph" w:styleId="7">
    <w:name w:val="Body Text First Indent 2"/>
    <w:basedOn w:val="2"/>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4467</Words>
  <Characters>4634</Characters>
  <Lines>0</Lines>
  <Paragraphs>0</Paragraphs>
  <TotalTime>5</TotalTime>
  <ScaleCrop>false</ScaleCrop>
  <LinksUpToDate>false</LinksUpToDate>
  <CharactersWithSpaces>4649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2025-02-13T08:51:00Z</dcterms:created>
  <dc:creator>肥嘟好肥</dc:creator>
  <cp:lastModifiedBy>肥嘟好肥</cp:lastModifiedBy>
  <dcterms:modified xsi:type="dcterms:W3CDTF">2026-07-10T01:47:51Z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0B4B430A95E945BCA1AB5E120532A80B_11</vt:lpwstr>
  </property>
  <property fmtid="{D5CDD505-2E9C-101B-9397-08002B2CF9AE}" pid="4" name="KSOTemplateDocerSaveRecord">
    <vt:lpwstr>eyJoZGlkIjoiYjJkYTEwODE3NDdlMDUwZDFhY2NlOTczNGNlODJlOWQiLCJ1c2VySWQiOiIzNzkzNTEwMTcifQ==</vt:lpwstr>
  </property>
</Properties>
</file>